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44DEF" w14:textId="54FC9D49" w:rsidR="00103BBE" w:rsidRPr="00993E3C" w:rsidRDefault="00E5626D" w:rsidP="000114CD">
      <w:pPr>
        <w:pStyle w:val="PolicyTitle"/>
        <w:spacing w:before="360" w:after="24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Misuse of </w:t>
      </w:r>
      <w:r w:rsidR="00360F78">
        <w:rPr>
          <w:rFonts w:ascii="Palatino Linotype" w:hAnsi="Palatino Linotype"/>
          <w:b/>
        </w:rPr>
        <w:t xml:space="preserve">University </w:t>
      </w:r>
      <w:r>
        <w:rPr>
          <w:rFonts w:ascii="Palatino Linotype" w:hAnsi="Palatino Linotype"/>
          <w:b/>
        </w:rPr>
        <w:t>Assets</w:t>
      </w:r>
    </w:p>
    <w:p w14:paraId="150E7955" w14:textId="77777777" w:rsidR="004156C2" w:rsidRDefault="00097EF1" w:rsidP="001B0264">
      <w:pPr>
        <w:pStyle w:val="PolicyHeadings"/>
        <w:ind w:left="1440"/>
        <w:rPr>
          <w:b w:val="0"/>
        </w:rPr>
      </w:pPr>
      <w:r w:rsidRPr="007B7E6B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0D9F0EFA" wp14:editId="2A0E46D1">
                <wp:simplePos x="0" y="0"/>
                <wp:positionH relativeFrom="column">
                  <wp:posOffset>0</wp:posOffset>
                </wp:positionH>
                <wp:positionV relativeFrom="paragraph">
                  <wp:posOffset>46989</wp:posOffset>
                </wp:positionV>
                <wp:extent cx="6867525" cy="2505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505075"/>
                        </a:xfrm>
                        <a:prstGeom prst="rect">
                          <a:avLst/>
                        </a:prstGeom>
                        <a:solidFill>
                          <a:srgbClr val="C8D9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D35AB" w14:textId="77777777" w:rsidR="00DC5AC8" w:rsidRPr="007B7E6B" w:rsidRDefault="00DC5AC8" w:rsidP="006E4D38">
                            <w:pPr>
                              <w:pStyle w:val="PolicyHeadings"/>
                              <w:ind w:left="0" w:firstLine="360"/>
                            </w:pPr>
                            <w:r w:rsidRPr="008B084C">
                              <w:t xml:space="preserve">Policy No.: </w:t>
                            </w:r>
                            <w:r w:rsidRPr="00E34CCC">
                              <w:rPr>
                                <w:b w:val="0"/>
                              </w:rPr>
                              <w:t>000</w:t>
                            </w:r>
                          </w:p>
                          <w:p w14:paraId="7630A90D" w14:textId="2F53D6FC" w:rsidR="00DC5AC8" w:rsidRDefault="00DC5AC8" w:rsidP="00AC135C">
                            <w:pPr>
                              <w:pStyle w:val="PolicyHeadings"/>
                              <w:spacing w:before="240"/>
                              <w:ind w:left="2880" w:hanging="2520"/>
                              <w:rPr>
                                <w:b w:val="0"/>
                              </w:rPr>
                            </w:pPr>
                            <w:r>
                              <w:t>Effective Date:</w:t>
                            </w:r>
                            <w:r>
                              <w:tab/>
                            </w:r>
                            <w:r w:rsidR="002D40B2">
                              <w:rPr>
                                <w:b w:val="0"/>
                              </w:rPr>
                              <w:t>[TBD]</w:t>
                            </w:r>
                          </w:p>
                          <w:p w14:paraId="43D23FF3" w14:textId="3E6B3E2A" w:rsidR="00DC5AC8" w:rsidRDefault="00DC5AC8" w:rsidP="00CF34D3">
                            <w:pPr>
                              <w:pStyle w:val="PolicyHeadings"/>
                              <w:spacing w:before="240"/>
                              <w:ind w:left="2880" w:hanging="2520"/>
                              <w:rPr>
                                <w:b w:val="0"/>
                              </w:rPr>
                            </w:pPr>
                            <w:r>
                              <w:t>Last Revised:</w:t>
                            </w:r>
                            <w:r>
                              <w:tab/>
                            </w:r>
                            <w:r w:rsidR="005A48D5">
                              <w:rPr>
                                <w:b w:val="0"/>
                              </w:rPr>
                              <w:t>April 2015</w:t>
                            </w:r>
                          </w:p>
                          <w:p w14:paraId="73EC1A3A" w14:textId="77777777" w:rsidR="00DC5AC8" w:rsidRDefault="00DC5AC8" w:rsidP="00CF34D3">
                            <w:pPr>
                              <w:pStyle w:val="PolicyHeadings"/>
                              <w:spacing w:before="240"/>
                              <w:ind w:left="2880" w:hanging="2520"/>
                            </w:pPr>
                            <w:r>
                              <w:t>Policy Number:</w:t>
                            </w:r>
                            <w:r>
                              <w:rPr>
                                <w:b w:val="0"/>
                              </w:rPr>
                              <w:tab/>
                              <w:t>Fin-101</w:t>
                            </w:r>
                          </w:p>
                          <w:p w14:paraId="43B711D0" w14:textId="333CA913" w:rsidR="00DC5AC8" w:rsidRPr="004156C2" w:rsidRDefault="00DC5AC8" w:rsidP="00CF34D3">
                            <w:pPr>
                              <w:pStyle w:val="PolicyHeadings"/>
                              <w:ind w:left="2880" w:hanging="2520"/>
                              <w:rPr>
                                <w:b w:val="0"/>
                              </w:rPr>
                            </w:pPr>
                            <w:r>
                              <w:t>Responsible Unit:</w:t>
                            </w:r>
                            <w:r>
                              <w:tab/>
                            </w:r>
                            <w:r>
                              <w:rPr>
                                <w:b w:val="0"/>
                              </w:rPr>
                              <w:t>Business Affairs Office</w:t>
                            </w:r>
                            <w:r w:rsidRPr="00CF34D3">
                              <w:rPr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br/>
                            </w:r>
                            <w:r w:rsidR="002D40B2">
                              <w:rPr>
                                <w:b w:val="0"/>
                              </w:rPr>
                              <w:t>Lisa Rulney</w:t>
                            </w:r>
                            <w:r>
                              <w:rPr>
                                <w:b w:val="0"/>
                              </w:rPr>
                              <w:br/>
                            </w:r>
                            <w:r w:rsidRPr="00AC135C">
                              <w:rPr>
                                <w:b w:val="0"/>
                              </w:rPr>
                              <w:t>Senior V</w:t>
                            </w:r>
                            <w:r w:rsidR="00317092">
                              <w:rPr>
                                <w:b w:val="0"/>
                              </w:rPr>
                              <w:t xml:space="preserve">ice </w:t>
                            </w:r>
                            <w:r w:rsidRPr="00AC135C">
                              <w:rPr>
                                <w:b w:val="0"/>
                              </w:rPr>
                              <w:t>P</w:t>
                            </w:r>
                            <w:r w:rsidR="00317092">
                              <w:rPr>
                                <w:b w:val="0"/>
                              </w:rPr>
                              <w:t>resident</w:t>
                            </w:r>
                            <w:r w:rsidRPr="00AC135C">
                              <w:rPr>
                                <w:b w:val="0"/>
                              </w:rPr>
                              <w:t xml:space="preserve"> for Business Affairs and Chief Financial Officer</w:t>
                            </w:r>
                          </w:p>
                          <w:p w14:paraId="61334462" w14:textId="77777777" w:rsidR="00DC5AC8" w:rsidRPr="004156C2" w:rsidRDefault="00DC5AC8" w:rsidP="006E4D38">
                            <w:pPr>
                              <w:pStyle w:val="PolicyHeadings"/>
                              <w:ind w:left="0" w:firstLine="360"/>
                              <w:rPr>
                                <w:b w:val="0"/>
                              </w:rPr>
                            </w:pPr>
                            <w:r>
                              <w:t xml:space="preserve">Phone: 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b w:val="0"/>
                              </w:rPr>
                              <w:tab/>
                              <w:t>520-621-5977</w:t>
                            </w:r>
                          </w:p>
                          <w:p w14:paraId="06D34C0E" w14:textId="4ECD4A87" w:rsidR="00DC5AC8" w:rsidRPr="004156C2" w:rsidRDefault="00DC5AC8" w:rsidP="004156C2">
                            <w:pPr>
                              <w:pStyle w:val="PolicyHeadings"/>
                              <w:ind w:left="360"/>
                              <w:rPr>
                                <w:b w:val="0"/>
                              </w:rPr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  <w:r w:rsidR="007243DA">
                              <w:tab/>
                            </w:r>
                            <w:r w:rsidR="007243DA">
                              <w:tab/>
                            </w:r>
                            <w:r w:rsidR="007243DA" w:rsidRPr="007243DA">
                              <w:rPr>
                                <w:b w:val="0"/>
                                <w:bCs/>
                              </w:rPr>
                              <w:t>lisa.rulney@arizona.edu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F0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7pt;width:540.75pt;height:197.25pt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" fillcolor="#c8d9d8" strokeweight="1pt">
                <v:textbox>
                  <w:txbxContent>
                    <w:p w14:paraId="1BED35AB" w14:textId="77777777" w:rsidR="00DC5AC8" w:rsidRPr="007B7E6B" w:rsidRDefault="00DC5AC8" w:rsidP="006E4D38">
                      <w:pPr>
                        <w:pStyle w:val="PolicyHeadings"/>
                        <w:ind w:left="0" w:firstLine="360"/>
                      </w:pPr>
                      <w:r w:rsidRPr="008B084C">
                        <w:t xml:space="preserve">Policy No.: </w:t>
                      </w:r>
                      <w:r w:rsidRPr="00E34CCC">
                        <w:rPr>
                          <w:b w:val="0"/>
                        </w:rPr>
                        <w:t>000</w:t>
                      </w:r>
                    </w:p>
                    <w:p w14:paraId="7630A90D" w14:textId="2F53D6FC" w:rsidR="00DC5AC8" w:rsidRDefault="00DC5AC8" w:rsidP="00AC135C">
                      <w:pPr>
                        <w:pStyle w:val="PolicyHeadings"/>
                        <w:spacing w:before="240"/>
                        <w:ind w:left="2880" w:hanging="2520"/>
                        <w:rPr>
                          <w:b w:val="0"/>
                        </w:rPr>
                      </w:pPr>
                      <w:r>
                        <w:t>Effective Date:</w:t>
                      </w:r>
                      <w:r>
                        <w:tab/>
                      </w:r>
                      <w:r w:rsidR="002D40B2">
                        <w:rPr>
                          <w:b w:val="0"/>
                        </w:rPr>
                        <w:t>[TBD]</w:t>
                      </w:r>
                    </w:p>
                    <w:p w14:paraId="43D23FF3" w14:textId="3E6B3E2A" w:rsidR="00DC5AC8" w:rsidRDefault="00DC5AC8" w:rsidP="00CF34D3">
                      <w:pPr>
                        <w:pStyle w:val="PolicyHeadings"/>
                        <w:spacing w:before="240"/>
                        <w:ind w:left="2880" w:hanging="2520"/>
                        <w:rPr>
                          <w:b w:val="0"/>
                        </w:rPr>
                      </w:pPr>
                      <w:r>
                        <w:t>Last Revised:</w:t>
                      </w:r>
                      <w:r>
                        <w:tab/>
                      </w:r>
                      <w:r w:rsidR="005A48D5">
                        <w:rPr>
                          <w:b w:val="0"/>
                        </w:rPr>
                        <w:t>April 2015</w:t>
                      </w:r>
                    </w:p>
                    <w:p w14:paraId="73EC1A3A" w14:textId="77777777" w:rsidR="00DC5AC8" w:rsidRDefault="00DC5AC8" w:rsidP="00CF34D3">
                      <w:pPr>
                        <w:pStyle w:val="PolicyHeadings"/>
                        <w:spacing w:before="240"/>
                        <w:ind w:left="2880" w:hanging="2520"/>
                      </w:pPr>
                      <w:r>
                        <w:t>Policy Number:</w:t>
                      </w:r>
                      <w:r>
                        <w:rPr>
                          <w:b w:val="0"/>
                        </w:rPr>
                        <w:tab/>
                        <w:t>Fin-101</w:t>
                      </w:r>
                    </w:p>
                    <w:p w14:paraId="43B711D0" w14:textId="333CA913" w:rsidR="00DC5AC8" w:rsidRPr="004156C2" w:rsidRDefault="00DC5AC8" w:rsidP="00CF34D3">
                      <w:pPr>
                        <w:pStyle w:val="PolicyHeadings"/>
                        <w:ind w:left="2880" w:hanging="2520"/>
                        <w:rPr>
                          <w:b w:val="0"/>
                        </w:rPr>
                      </w:pPr>
                      <w:r>
                        <w:t>Responsible Unit:</w:t>
                      </w:r>
                      <w:r>
                        <w:tab/>
                      </w:r>
                      <w:r>
                        <w:rPr>
                          <w:b w:val="0"/>
                        </w:rPr>
                        <w:t>Business Affairs Office</w:t>
                      </w:r>
                      <w:r w:rsidRPr="00CF34D3">
                        <w:rPr>
                          <w:b w:val="0"/>
                        </w:rPr>
                        <w:t xml:space="preserve"> </w:t>
                      </w:r>
                      <w:r>
                        <w:rPr>
                          <w:b w:val="0"/>
                        </w:rPr>
                        <w:br/>
                      </w:r>
                      <w:r w:rsidR="002D40B2">
                        <w:rPr>
                          <w:b w:val="0"/>
                        </w:rPr>
                        <w:t>Lisa Rulney</w:t>
                      </w:r>
                      <w:r>
                        <w:rPr>
                          <w:b w:val="0"/>
                        </w:rPr>
                        <w:br/>
                      </w:r>
                      <w:r w:rsidRPr="00AC135C">
                        <w:rPr>
                          <w:b w:val="0"/>
                        </w:rPr>
                        <w:t>Senior V</w:t>
                      </w:r>
                      <w:r w:rsidR="00317092">
                        <w:rPr>
                          <w:b w:val="0"/>
                        </w:rPr>
                        <w:t xml:space="preserve">ice </w:t>
                      </w:r>
                      <w:r w:rsidRPr="00AC135C">
                        <w:rPr>
                          <w:b w:val="0"/>
                        </w:rPr>
                        <w:t>P</w:t>
                      </w:r>
                      <w:r w:rsidR="00317092">
                        <w:rPr>
                          <w:b w:val="0"/>
                        </w:rPr>
                        <w:t>resident</w:t>
                      </w:r>
                      <w:r w:rsidRPr="00AC135C">
                        <w:rPr>
                          <w:b w:val="0"/>
                        </w:rPr>
                        <w:t xml:space="preserve"> for Business Affairs and Chief Financial Officer</w:t>
                      </w:r>
                    </w:p>
                    <w:p w14:paraId="61334462" w14:textId="77777777" w:rsidR="00DC5AC8" w:rsidRPr="004156C2" w:rsidRDefault="00DC5AC8" w:rsidP="006E4D38">
                      <w:pPr>
                        <w:pStyle w:val="PolicyHeadings"/>
                        <w:ind w:left="0" w:firstLine="360"/>
                        <w:rPr>
                          <w:b w:val="0"/>
                        </w:rPr>
                      </w:pPr>
                      <w:r>
                        <w:t xml:space="preserve">Phone: </w:t>
                      </w: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b w:val="0"/>
                        </w:rPr>
                        <w:tab/>
                        <w:t>520-621-5977</w:t>
                      </w:r>
                    </w:p>
                    <w:p w14:paraId="06D34C0E" w14:textId="4ECD4A87" w:rsidR="00DC5AC8" w:rsidRPr="004156C2" w:rsidRDefault="00DC5AC8" w:rsidP="004156C2">
                      <w:pPr>
                        <w:pStyle w:val="PolicyHeadings"/>
                        <w:ind w:left="360"/>
                        <w:rPr>
                          <w:b w:val="0"/>
                        </w:rPr>
                      </w:pPr>
                      <w:r>
                        <w:t>E-mail:</w:t>
                      </w:r>
                      <w:r>
                        <w:tab/>
                      </w:r>
                      <w:r w:rsidR="007243DA">
                        <w:tab/>
                      </w:r>
                      <w:r w:rsidR="007243DA">
                        <w:tab/>
                      </w:r>
                      <w:r w:rsidR="007243DA" w:rsidRPr="007243DA">
                        <w:rPr>
                          <w:b w:val="0"/>
                          <w:bCs/>
                        </w:rPr>
                        <w:t>lisa.rulney@arizona.edu</w:t>
                      </w:r>
                    </w:p>
                  </w:txbxContent>
                </v:textbox>
              </v:shape>
            </w:pict>
          </mc:Fallback>
        </mc:AlternateContent>
      </w:r>
      <w:r w:rsidR="00993E3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00BF8A09" wp14:editId="4F1F2108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867525" cy="352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rgbClr val="0C234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DE047" w14:textId="77777777" w:rsidR="00DC5AC8" w:rsidRPr="00993E3C" w:rsidRDefault="00DC5AC8" w:rsidP="00097EF1">
                            <w:pPr>
                              <w:tabs>
                                <w:tab w:val="left" w:pos="432"/>
                              </w:tabs>
                              <w:spacing w:before="80" w:after="120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993E3C"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POLICY INFORMATION</w:t>
                            </w:r>
                          </w:p>
                          <w:p w14:paraId="7391CE58" w14:textId="77777777" w:rsidR="00DC5AC8" w:rsidRDefault="00DC5A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F8A09" id="Text Box 1" o:spid="_x0000_s1027" type="#_x0000_t202" style="position:absolute;left:0;text-align:left;margin-left:0;margin-top:3.6pt;width:540.75pt;height:27.75pt;z-index:2516582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" fillcolor="#0c234b" strokeweight=".5pt">
                <v:textbox>
                  <w:txbxContent>
                    <w:p w14:paraId="31FDE047" w14:textId="77777777" w:rsidR="00DC5AC8" w:rsidRPr="00993E3C" w:rsidRDefault="00DC5AC8" w:rsidP="00097EF1">
                      <w:pPr>
                        <w:tabs>
                          <w:tab w:val="left" w:pos="432"/>
                        </w:tabs>
                        <w:spacing w:before="80" w:after="120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993E3C">
                        <w:rPr>
                          <w:rFonts w:ascii="Palatino Linotype" w:hAnsi="Palatino Linotype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>POLICY INFORMATION</w:t>
                      </w:r>
                    </w:p>
                    <w:p w14:paraId="7391CE58" w14:textId="77777777" w:rsidR="00DC5AC8" w:rsidRDefault="00DC5AC8"/>
                  </w:txbxContent>
                </v:textbox>
              </v:shape>
            </w:pict>
          </mc:Fallback>
        </mc:AlternateContent>
      </w:r>
    </w:p>
    <w:p w14:paraId="67516B7F" w14:textId="77777777" w:rsidR="004156C2" w:rsidRDefault="004156C2" w:rsidP="001B0264">
      <w:pPr>
        <w:pStyle w:val="PolicyHeadings"/>
        <w:ind w:left="1440"/>
        <w:rPr>
          <w:b w:val="0"/>
        </w:rPr>
      </w:pPr>
    </w:p>
    <w:p w14:paraId="3995DB20" w14:textId="77777777" w:rsidR="004156C2" w:rsidRDefault="004156C2" w:rsidP="001B0264">
      <w:pPr>
        <w:pStyle w:val="PolicyHeadings"/>
        <w:ind w:left="1440"/>
        <w:rPr>
          <w:b w:val="0"/>
        </w:rPr>
      </w:pPr>
    </w:p>
    <w:p w14:paraId="45043B5C" w14:textId="77777777" w:rsidR="004156C2" w:rsidRDefault="004156C2" w:rsidP="001B0264">
      <w:pPr>
        <w:pStyle w:val="PolicyHeadings"/>
        <w:ind w:left="1440"/>
        <w:rPr>
          <w:b w:val="0"/>
        </w:rPr>
      </w:pPr>
    </w:p>
    <w:p w14:paraId="4E65FF01" w14:textId="77777777" w:rsidR="004156C2" w:rsidRDefault="004156C2" w:rsidP="001B0264">
      <w:pPr>
        <w:pStyle w:val="PolicyHeadings"/>
        <w:ind w:left="1440"/>
        <w:rPr>
          <w:b w:val="0"/>
        </w:rPr>
      </w:pPr>
    </w:p>
    <w:p w14:paraId="39F4A740" w14:textId="77777777" w:rsidR="007B7E6B" w:rsidRDefault="007B7E6B" w:rsidP="001B0264">
      <w:pPr>
        <w:pStyle w:val="PolicyHeadings"/>
        <w:ind w:left="1440"/>
        <w:rPr>
          <w:b w:val="0"/>
        </w:rPr>
      </w:pPr>
    </w:p>
    <w:p w14:paraId="79C10C93" w14:textId="77777777" w:rsidR="007B7E6B" w:rsidRDefault="007B7E6B" w:rsidP="001B0264">
      <w:pPr>
        <w:pStyle w:val="PolicyHeadings"/>
        <w:ind w:left="1440"/>
        <w:rPr>
          <w:b w:val="0"/>
        </w:rPr>
      </w:pPr>
    </w:p>
    <w:p w14:paraId="7E0C6ACB" w14:textId="77777777" w:rsidR="007B7E6B" w:rsidRDefault="007B7E6B" w:rsidP="001B0264">
      <w:pPr>
        <w:pStyle w:val="PolicyHeadings"/>
        <w:ind w:left="1440"/>
        <w:rPr>
          <w:b w:val="0"/>
        </w:rPr>
      </w:pPr>
    </w:p>
    <w:p w14:paraId="3D69F6A4" w14:textId="77777777" w:rsidR="007B7E6B" w:rsidRDefault="007B7E6B" w:rsidP="001B0264">
      <w:pPr>
        <w:pStyle w:val="PolicyHeadings"/>
        <w:ind w:left="1440"/>
        <w:rPr>
          <w:b w:val="0"/>
        </w:rPr>
      </w:pPr>
    </w:p>
    <w:p w14:paraId="2527C606" w14:textId="77777777" w:rsidR="007B7E6B" w:rsidRDefault="007B7E6B" w:rsidP="001B0264">
      <w:pPr>
        <w:pStyle w:val="PolicyHeadings"/>
        <w:ind w:left="1440"/>
        <w:rPr>
          <w:b w:val="0"/>
        </w:rPr>
      </w:pPr>
    </w:p>
    <w:p w14:paraId="01E4A2DC" w14:textId="77777777" w:rsidR="00C15811" w:rsidRDefault="00C15811" w:rsidP="00844487">
      <w:pPr>
        <w:pStyle w:val="PolicyHeadings"/>
        <w:rPr>
          <w:b w:val="0"/>
        </w:rPr>
      </w:pPr>
    </w:p>
    <w:p w14:paraId="3B487AC2" w14:textId="77777777" w:rsidR="00E34CCC" w:rsidRPr="00993E3C" w:rsidRDefault="006E4D38" w:rsidP="00993E3C">
      <w:pPr>
        <w:pStyle w:val="SectionTitle"/>
      </w:pPr>
      <w:r w:rsidRPr="00993E3C">
        <w:t>Purpose and Summary</w:t>
      </w:r>
    </w:p>
    <w:p w14:paraId="669A3E17" w14:textId="2C87D012" w:rsidR="001E47F8" w:rsidRDefault="00176F6C" w:rsidP="00AC135C">
      <w:pPr>
        <w:pStyle w:val="PolicyText"/>
        <w:rPr>
          <w:sz w:val="24"/>
          <w:szCs w:val="24"/>
        </w:rPr>
      </w:pPr>
      <w:r>
        <w:rPr>
          <w:sz w:val="24"/>
          <w:szCs w:val="24"/>
        </w:rPr>
        <w:t>This policy</w:t>
      </w:r>
      <w:r w:rsidR="00AC135C" w:rsidRPr="00D87A15">
        <w:rPr>
          <w:sz w:val="24"/>
          <w:szCs w:val="24"/>
        </w:rPr>
        <w:t xml:space="preserve"> defines and delineates responsibilities relating to the </w:t>
      </w:r>
      <w:r w:rsidR="009D73AD">
        <w:rPr>
          <w:sz w:val="24"/>
          <w:szCs w:val="24"/>
        </w:rPr>
        <w:t>m</w:t>
      </w:r>
      <w:r w:rsidR="00AC135C" w:rsidRPr="00D87A15">
        <w:rPr>
          <w:sz w:val="24"/>
          <w:szCs w:val="24"/>
        </w:rPr>
        <w:t xml:space="preserve">isuse of University </w:t>
      </w:r>
      <w:r w:rsidR="001C793C">
        <w:rPr>
          <w:sz w:val="24"/>
          <w:szCs w:val="24"/>
        </w:rPr>
        <w:t>a</w:t>
      </w:r>
      <w:r w:rsidR="00AC135C" w:rsidRPr="00D87A15">
        <w:rPr>
          <w:sz w:val="24"/>
          <w:szCs w:val="24"/>
        </w:rPr>
        <w:t>ssets</w:t>
      </w:r>
      <w:r w:rsidR="00244FE9">
        <w:rPr>
          <w:sz w:val="24"/>
          <w:szCs w:val="24"/>
        </w:rPr>
        <w:t xml:space="preserve"> </w:t>
      </w:r>
      <w:r w:rsidR="003D6373">
        <w:rPr>
          <w:sz w:val="24"/>
          <w:szCs w:val="24"/>
        </w:rPr>
        <w:t>and</w:t>
      </w:r>
      <w:r w:rsidR="003D6373" w:rsidRPr="00D87A15">
        <w:rPr>
          <w:sz w:val="24"/>
          <w:szCs w:val="24"/>
        </w:rPr>
        <w:t xml:space="preserve"> </w:t>
      </w:r>
      <w:r w:rsidR="00AC135C" w:rsidRPr="00D87A15">
        <w:rPr>
          <w:sz w:val="24"/>
          <w:szCs w:val="24"/>
        </w:rPr>
        <w:t xml:space="preserve">establishes protocols for reporting and handling of incidents involving alleged or actual </w:t>
      </w:r>
      <w:r w:rsidR="009D73AD">
        <w:rPr>
          <w:sz w:val="24"/>
          <w:szCs w:val="24"/>
        </w:rPr>
        <w:t>m</w:t>
      </w:r>
      <w:r w:rsidR="00AC135C" w:rsidRPr="00D87A15">
        <w:rPr>
          <w:sz w:val="24"/>
          <w:szCs w:val="24"/>
        </w:rPr>
        <w:t xml:space="preserve">isuse of University </w:t>
      </w:r>
      <w:r w:rsidR="001C793C">
        <w:rPr>
          <w:sz w:val="24"/>
          <w:szCs w:val="24"/>
        </w:rPr>
        <w:t>a</w:t>
      </w:r>
      <w:r w:rsidR="00AC135C" w:rsidRPr="00D87A15">
        <w:rPr>
          <w:sz w:val="24"/>
          <w:szCs w:val="24"/>
        </w:rPr>
        <w:t>ssets.</w:t>
      </w:r>
      <w:r w:rsidR="00F638D1" w:rsidRPr="00F638D1">
        <w:t xml:space="preserve"> </w:t>
      </w:r>
    </w:p>
    <w:p w14:paraId="4E594BEB" w14:textId="3EBC4D7F" w:rsidR="00681152" w:rsidRDefault="00681152" w:rsidP="00AC135C">
      <w:pPr>
        <w:pStyle w:val="PolicyText"/>
        <w:rPr>
          <w:sz w:val="24"/>
          <w:szCs w:val="24"/>
        </w:rPr>
      </w:pPr>
      <w:r w:rsidRPr="00681152">
        <w:rPr>
          <w:sz w:val="24"/>
          <w:szCs w:val="24"/>
        </w:rPr>
        <w:t>The</w:t>
      </w:r>
      <w:r>
        <w:rPr>
          <w:sz w:val="24"/>
          <w:szCs w:val="24"/>
        </w:rPr>
        <w:t xml:space="preserve"> M</w:t>
      </w:r>
      <w:r w:rsidRPr="00681152">
        <w:rPr>
          <w:sz w:val="24"/>
          <w:szCs w:val="24"/>
        </w:rPr>
        <w:t xml:space="preserve">isuse of </w:t>
      </w:r>
      <w:r>
        <w:rPr>
          <w:sz w:val="24"/>
          <w:szCs w:val="24"/>
        </w:rPr>
        <w:t>University A</w:t>
      </w:r>
      <w:r w:rsidRPr="00681152">
        <w:rPr>
          <w:sz w:val="24"/>
          <w:szCs w:val="24"/>
        </w:rPr>
        <w:t xml:space="preserve">ssets </w:t>
      </w:r>
      <w:r>
        <w:rPr>
          <w:sz w:val="24"/>
          <w:szCs w:val="24"/>
        </w:rPr>
        <w:t>p</w:t>
      </w:r>
      <w:r w:rsidRPr="00681152">
        <w:rPr>
          <w:sz w:val="24"/>
          <w:szCs w:val="24"/>
        </w:rPr>
        <w:t>olicy is established to facilitate</w:t>
      </w:r>
      <w:r w:rsidR="0052208B">
        <w:rPr>
          <w:sz w:val="24"/>
          <w:szCs w:val="24"/>
        </w:rPr>
        <w:t xml:space="preserve"> and support</w:t>
      </w:r>
      <w:r w:rsidRPr="00681152">
        <w:rPr>
          <w:sz w:val="24"/>
          <w:szCs w:val="24"/>
        </w:rPr>
        <w:t xml:space="preserve"> the development of controls that will aid in the detection and prevention of misuse of assets. </w:t>
      </w:r>
      <w:r w:rsidR="00AA1ECB">
        <w:rPr>
          <w:sz w:val="24"/>
          <w:szCs w:val="24"/>
        </w:rPr>
        <w:t xml:space="preserve">Theft, carelessness, and waste have a direct impact on everyone at the University. </w:t>
      </w:r>
      <w:r w:rsidRPr="00681152">
        <w:rPr>
          <w:sz w:val="24"/>
          <w:szCs w:val="24"/>
        </w:rPr>
        <w:t xml:space="preserve">It is the intent of the University of Arizona to </w:t>
      </w:r>
      <w:r w:rsidR="00AA1ECB">
        <w:rPr>
          <w:sz w:val="24"/>
          <w:szCs w:val="24"/>
        </w:rPr>
        <w:t xml:space="preserve">protect the University’s assets, ensure their efficient and proper use, and </w:t>
      </w:r>
      <w:r w:rsidRPr="00681152">
        <w:rPr>
          <w:sz w:val="24"/>
          <w:szCs w:val="24"/>
        </w:rPr>
        <w:t>promote consistent organizational behavior by providing guidelines and assigning responsibility for the development of controls and conduct of investigations.</w:t>
      </w:r>
    </w:p>
    <w:p w14:paraId="49F22E5F" w14:textId="1339B2D8" w:rsidR="008F373C" w:rsidRPr="00D87A15" w:rsidRDefault="008F373C" w:rsidP="00AC135C">
      <w:pPr>
        <w:pStyle w:val="PolicyText"/>
        <w:rPr>
          <w:sz w:val="24"/>
          <w:szCs w:val="24"/>
        </w:rPr>
      </w:pPr>
      <w:r w:rsidRPr="00F638D1">
        <w:rPr>
          <w:sz w:val="24"/>
          <w:szCs w:val="24"/>
        </w:rPr>
        <w:t xml:space="preserve">The </w:t>
      </w:r>
      <w:r w:rsidR="00681398">
        <w:rPr>
          <w:sz w:val="24"/>
          <w:szCs w:val="24"/>
        </w:rPr>
        <w:t>Office of the Senior Vice President for Business Affairs and Chief Financial Officer (“</w:t>
      </w:r>
      <w:r w:rsidRPr="00F638D1">
        <w:rPr>
          <w:sz w:val="24"/>
          <w:szCs w:val="24"/>
        </w:rPr>
        <w:t>Business Affairs Office</w:t>
      </w:r>
      <w:r w:rsidR="00681398">
        <w:rPr>
          <w:sz w:val="24"/>
          <w:szCs w:val="24"/>
        </w:rPr>
        <w:t>”)</w:t>
      </w:r>
      <w:r w:rsidRPr="00F638D1">
        <w:rPr>
          <w:sz w:val="24"/>
          <w:szCs w:val="24"/>
        </w:rPr>
        <w:t xml:space="preserve"> has the overall responsibility for matters concerning known or suspected misuse of University assets, including</w:t>
      </w:r>
      <w:r>
        <w:rPr>
          <w:sz w:val="24"/>
          <w:szCs w:val="24"/>
        </w:rPr>
        <w:t xml:space="preserve"> receiving and responding to reports of misuse.</w:t>
      </w:r>
    </w:p>
    <w:p w14:paraId="464CF27D" w14:textId="77777777" w:rsidR="00D54561" w:rsidRPr="00993E3C" w:rsidRDefault="00844487" w:rsidP="00993E3C">
      <w:pPr>
        <w:pStyle w:val="SectionTitle"/>
      </w:pPr>
      <w:r w:rsidRPr="00993E3C">
        <w:t>Scope</w:t>
      </w:r>
    </w:p>
    <w:p w14:paraId="10FF821A" w14:textId="3BBDB924" w:rsidR="001E47F8" w:rsidRDefault="00AC135C" w:rsidP="00844487">
      <w:pPr>
        <w:pStyle w:val="PolicyText"/>
        <w:rPr>
          <w:sz w:val="24"/>
          <w:szCs w:val="24"/>
        </w:rPr>
      </w:pPr>
      <w:r w:rsidRPr="00D87A15">
        <w:rPr>
          <w:sz w:val="24"/>
          <w:szCs w:val="24"/>
        </w:rPr>
        <w:t xml:space="preserve">This policy applies </w:t>
      </w:r>
      <w:r w:rsidR="00176F6C">
        <w:rPr>
          <w:sz w:val="24"/>
          <w:szCs w:val="24"/>
        </w:rPr>
        <w:t xml:space="preserve">to all </w:t>
      </w:r>
      <w:r w:rsidR="00CA7DF2">
        <w:rPr>
          <w:sz w:val="24"/>
          <w:szCs w:val="24"/>
        </w:rPr>
        <w:t xml:space="preserve">members of the University community and all </w:t>
      </w:r>
      <w:r w:rsidR="00176F6C">
        <w:rPr>
          <w:sz w:val="24"/>
          <w:szCs w:val="24"/>
        </w:rPr>
        <w:t xml:space="preserve">occurrences of </w:t>
      </w:r>
      <w:r w:rsidR="00D14187">
        <w:rPr>
          <w:sz w:val="24"/>
          <w:szCs w:val="24"/>
        </w:rPr>
        <w:t>m</w:t>
      </w:r>
      <w:r w:rsidR="00176F6C">
        <w:rPr>
          <w:sz w:val="24"/>
          <w:szCs w:val="24"/>
        </w:rPr>
        <w:t>isuse</w:t>
      </w:r>
      <w:r w:rsidR="00CA7DF2">
        <w:rPr>
          <w:sz w:val="24"/>
          <w:szCs w:val="24"/>
        </w:rPr>
        <w:t>,</w:t>
      </w:r>
      <w:r w:rsidR="00176F6C">
        <w:rPr>
          <w:sz w:val="24"/>
          <w:szCs w:val="24"/>
        </w:rPr>
        <w:t xml:space="preserve"> including those involving </w:t>
      </w:r>
      <w:r w:rsidRPr="00D87A15">
        <w:rPr>
          <w:sz w:val="24"/>
          <w:szCs w:val="24"/>
        </w:rPr>
        <w:t xml:space="preserve">employees, students, </w:t>
      </w:r>
      <w:r w:rsidR="00615AD6">
        <w:rPr>
          <w:sz w:val="24"/>
          <w:szCs w:val="24"/>
        </w:rPr>
        <w:t>Designated Campus Colleagues (DCCs)</w:t>
      </w:r>
      <w:r w:rsidR="00534EC4">
        <w:rPr>
          <w:sz w:val="24"/>
          <w:szCs w:val="24"/>
        </w:rPr>
        <w:t xml:space="preserve">, vendors, </w:t>
      </w:r>
      <w:r w:rsidRPr="00D87A15">
        <w:rPr>
          <w:sz w:val="24"/>
          <w:szCs w:val="24"/>
        </w:rPr>
        <w:t xml:space="preserve">and </w:t>
      </w:r>
      <w:r w:rsidR="00176F6C">
        <w:rPr>
          <w:sz w:val="24"/>
          <w:szCs w:val="24"/>
        </w:rPr>
        <w:t>agents of the University</w:t>
      </w:r>
      <w:r w:rsidRPr="00D87A15">
        <w:rPr>
          <w:sz w:val="24"/>
          <w:szCs w:val="24"/>
        </w:rPr>
        <w:t>.</w:t>
      </w:r>
    </w:p>
    <w:p w14:paraId="01116011" w14:textId="4955C0F4" w:rsidR="00AC06B1" w:rsidRPr="00993E3C" w:rsidRDefault="00AC06B1" w:rsidP="00AC06B1">
      <w:pPr>
        <w:pStyle w:val="SectionTitle"/>
      </w:pPr>
      <w:r w:rsidRPr="00993E3C">
        <w:t>S</w:t>
      </w:r>
      <w:r>
        <w:t>ource</w:t>
      </w:r>
    </w:p>
    <w:p w14:paraId="4D34E3BB" w14:textId="216C103D" w:rsidR="00AC06B1" w:rsidRDefault="00CE590A" w:rsidP="00844487">
      <w:pPr>
        <w:pStyle w:val="PolicyText"/>
        <w:rPr>
          <w:sz w:val="24"/>
          <w:szCs w:val="24"/>
        </w:rPr>
      </w:pPr>
      <w:hyperlink r:id="rId10" w:history="1">
        <w:r w:rsidR="003B2D5D" w:rsidRPr="00FB44A7">
          <w:rPr>
            <w:rStyle w:val="Hyperlink"/>
            <w:sz w:val="24"/>
            <w:szCs w:val="24"/>
          </w:rPr>
          <w:t xml:space="preserve">Arizona Board of Regents </w:t>
        </w:r>
        <w:r w:rsidR="00134289">
          <w:rPr>
            <w:rStyle w:val="Hyperlink"/>
            <w:sz w:val="24"/>
            <w:szCs w:val="24"/>
          </w:rPr>
          <w:t xml:space="preserve">(ABOR) </w:t>
        </w:r>
        <w:r w:rsidR="003B2D5D" w:rsidRPr="00FB44A7">
          <w:rPr>
            <w:rStyle w:val="Hyperlink"/>
            <w:sz w:val="24"/>
            <w:szCs w:val="24"/>
          </w:rPr>
          <w:t>Policy</w:t>
        </w:r>
      </w:hyperlink>
      <w:r w:rsidR="003B2D5D">
        <w:rPr>
          <w:sz w:val="24"/>
          <w:szCs w:val="24"/>
        </w:rPr>
        <w:t>, including but not limited to</w:t>
      </w:r>
      <w:r w:rsidR="00FB44A7">
        <w:rPr>
          <w:sz w:val="24"/>
          <w:szCs w:val="24"/>
        </w:rPr>
        <w:t>:</w:t>
      </w:r>
      <w:r w:rsidR="00974012">
        <w:rPr>
          <w:sz w:val="24"/>
          <w:szCs w:val="24"/>
        </w:rPr>
        <w:t xml:space="preserve"> </w:t>
      </w:r>
      <w:hyperlink r:id="rId11" w:history="1">
        <w:r w:rsidR="00FB44A7" w:rsidRPr="00E453A3">
          <w:rPr>
            <w:rStyle w:val="Hyperlink"/>
            <w:sz w:val="24"/>
            <w:szCs w:val="24"/>
          </w:rPr>
          <w:t>5-301 Code of Conduct – Jurisdiction, Philosophy, Purpose and Limitations</w:t>
        </w:r>
      </w:hyperlink>
      <w:r w:rsidR="000A659A" w:rsidRPr="000A659A">
        <w:rPr>
          <w:sz w:val="24"/>
          <w:szCs w:val="24"/>
        </w:rPr>
        <w:t xml:space="preserve">, </w:t>
      </w:r>
      <w:hyperlink r:id="rId12" w:history="1">
        <w:r w:rsidR="00FB44A7" w:rsidRPr="00E453A3">
          <w:rPr>
            <w:rStyle w:val="Hyperlink"/>
            <w:sz w:val="24"/>
            <w:szCs w:val="24"/>
          </w:rPr>
          <w:t>5-302 Code of Conduct – Definitions</w:t>
        </w:r>
      </w:hyperlink>
      <w:r w:rsidR="000A659A">
        <w:rPr>
          <w:sz w:val="24"/>
          <w:szCs w:val="24"/>
        </w:rPr>
        <w:t xml:space="preserve">, </w:t>
      </w:r>
      <w:hyperlink r:id="rId13" w:history="1">
        <w:r w:rsidR="0026106F" w:rsidRPr="0026106F">
          <w:rPr>
            <w:rStyle w:val="Hyperlink"/>
            <w:sz w:val="24"/>
            <w:szCs w:val="24"/>
          </w:rPr>
          <w:t>5-303 Prohibited Conduct</w:t>
        </w:r>
      </w:hyperlink>
      <w:r w:rsidR="0026106F">
        <w:rPr>
          <w:sz w:val="24"/>
          <w:szCs w:val="24"/>
        </w:rPr>
        <w:t xml:space="preserve">, </w:t>
      </w:r>
      <w:hyperlink r:id="rId14" w:history="1">
        <w:r w:rsidR="00FB44A7" w:rsidRPr="00E453A3">
          <w:rPr>
            <w:rStyle w:val="Hyperlink"/>
            <w:sz w:val="24"/>
            <w:szCs w:val="24"/>
          </w:rPr>
          <w:t>5-308 Student Code of Conduct</w:t>
        </w:r>
      </w:hyperlink>
      <w:r w:rsidR="00A90474" w:rsidRPr="00A90474">
        <w:rPr>
          <w:sz w:val="24"/>
          <w:szCs w:val="24"/>
        </w:rPr>
        <w:t xml:space="preserve">, </w:t>
      </w:r>
      <w:r w:rsidR="000A659A">
        <w:rPr>
          <w:sz w:val="24"/>
          <w:szCs w:val="24"/>
        </w:rPr>
        <w:t>and</w:t>
      </w:r>
      <w:r w:rsidR="00FB44A7">
        <w:rPr>
          <w:sz w:val="24"/>
          <w:szCs w:val="24"/>
        </w:rPr>
        <w:t xml:space="preserve">, </w:t>
      </w:r>
      <w:hyperlink r:id="rId15" w:history="1">
        <w:r w:rsidR="00FB44A7" w:rsidRPr="0026106F">
          <w:rPr>
            <w:rStyle w:val="Hyperlink"/>
            <w:sz w:val="24"/>
            <w:szCs w:val="24"/>
          </w:rPr>
          <w:t>6-711 Internal Control Responsibilities</w:t>
        </w:r>
      </w:hyperlink>
    </w:p>
    <w:p w14:paraId="61AA8FD5" w14:textId="5BF02752" w:rsidR="00134289" w:rsidRPr="00D87A15" w:rsidRDefault="00CE590A" w:rsidP="00844487">
      <w:pPr>
        <w:pStyle w:val="PolicyText"/>
        <w:rPr>
          <w:sz w:val="24"/>
          <w:szCs w:val="24"/>
        </w:rPr>
      </w:pPr>
      <w:hyperlink r:id="rId16" w:history="1">
        <w:r w:rsidR="00134289" w:rsidRPr="005009AD">
          <w:rPr>
            <w:rStyle w:val="Hyperlink"/>
            <w:rFonts w:cs="Times New Roman"/>
            <w:sz w:val="24"/>
            <w:szCs w:val="24"/>
          </w:rPr>
          <w:t>ABOR Guideline for Implementation of 6-711 “Internal Control Responsibilities”</w:t>
        </w:r>
      </w:hyperlink>
    </w:p>
    <w:p w14:paraId="352EC702" w14:textId="3473FA5A" w:rsidR="00D54561" w:rsidRPr="00B01019" w:rsidRDefault="00D54561" w:rsidP="00B01019">
      <w:pPr>
        <w:pStyle w:val="SectionTitle"/>
      </w:pPr>
      <w:r w:rsidRPr="00B01019">
        <w:lastRenderedPageBreak/>
        <w:t>Definitions</w:t>
      </w:r>
    </w:p>
    <w:p w14:paraId="65A58C51" w14:textId="391CC23D" w:rsidR="008E40CB" w:rsidRPr="00D87A15" w:rsidRDefault="00AC135C" w:rsidP="00AC135C">
      <w:pPr>
        <w:rPr>
          <w:rFonts w:ascii="Times New Roman" w:hAnsi="Times New Roman" w:cs="Times New Roman"/>
          <w:sz w:val="24"/>
          <w:szCs w:val="24"/>
        </w:rPr>
      </w:pPr>
      <w:r w:rsidRPr="00D87A15">
        <w:rPr>
          <w:rFonts w:ascii="Times New Roman" w:hAnsi="Times New Roman" w:cs="Times New Roman"/>
          <w:b/>
          <w:bCs/>
          <w:sz w:val="24"/>
          <w:szCs w:val="24"/>
        </w:rPr>
        <w:t>Misuse</w:t>
      </w:r>
      <w:r w:rsidRPr="00D87A15">
        <w:rPr>
          <w:rFonts w:ascii="Times New Roman" w:hAnsi="Times New Roman" w:cs="Times New Roman"/>
          <w:sz w:val="24"/>
          <w:szCs w:val="24"/>
        </w:rPr>
        <w:t> is</w:t>
      </w:r>
      <w:r w:rsidR="000322C0" w:rsidRPr="00D87A15">
        <w:rPr>
          <w:rFonts w:ascii="Times New Roman" w:hAnsi="Times New Roman" w:cs="Times New Roman"/>
          <w:sz w:val="24"/>
          <w:szCs w:val="24"/>
        </w:rPr>
        <w:t xml:space="preserve"> </w:t>
      </w:r>
      <w:r w:rsidR="00AA3E1C">
        <w:rPr>
          <w:rFonts w:ascii="Times New Roman" w:hAnsi="Times New Roman" w:cs="Times New Roman"/>
          <w:sz w:val="24"/>
          <w:szCs w:val="24"/>
        </w:rPr>
        <w:t xml:space="preserve">the use </w:t>
      </w:r>
      <w:r w:rsidR="0038137A" w:rsidRPr="00D87A15">
        <w:rPr>
          <w:rFonts w:ascii="Times New Roman" w:hAnsi="Times New Roman" w:cs="Times New Roman"/>
          <w:sz w:val="24"/>
          <w:szCs w:val="24"/>
        </w:rPr>
        <w:t xml:space="preserve">of a University </w:t>
      </w:r>
      <w:r w:rsidR="00D14187">
        <w:rPr>
          <w:rFonts w:ascii="Times New Roman" w:hAnsi="Times New Roman" w:cs="Times New Roman"/>
          <w:sz w:val="24"/>
          <w:szCs w:val="24"/>
        </w:rPr>
        <w:t>a</w:t>
      </w:r>
      <w:r w:rsidR="0038137A" w:rsidRPr="00D87A15">
        <w:rPr>
          <w:rFonts w:ascii="Times New Roman" w:hAnsi="Times New Roman" w:cs="Times New Roman"/>
          <w:sz w:val="24"/>
          <w:szCs w:val="24"/>
        </w:rPr>
        <w:t>sset</w:t>
      </w:r>
      <w:r w:rsidR="00AA3E1C">
        <w:rPr>
          <w:rFonts w:ascii="Times New Roman" w:hAnsi="Times New Roman" w:cs="Times New Roman"/>
          <w:sz w:val="24"/>
          <w:szCs w:val="24"/>
        </w:rPr>
        <w:t xml:space="preserve"> </w:t>
      </w:r>
      <w:r w:rsidRPr="00D87A15">
        <w:rPr>
          <w:rFonts w:ascii="Times New Roman" w:hAnsi="Times New Roman" w:cs="Times New Roman"/>
          <w:sz w:val="24"/>
          <w:szCs w:val="24"/>
        </w:rPr>
        <w:t xml:space="preserve">that </w:t>
      </w:r>
      <w:r w:rsidR="000322C0" w:rsidRPr="00D87A15">
        <w:rPr>
          <w:rFonts w:ascii="Times New Roman" w:hAnsi="Times New Roman" w:cs="Times New Roman"/>
          <w:sz w:val="24"/>
          <w:szCs w:val="24"/>
        </w:rPr>
        <w:t>is</w:t>
      </w:r>
      <w:r w:rsidR="00AA3E1C">
        <w:rPr>
          <w:rFonts w:ascii="Times New Roman" w:hAnsi="Times New Roman" w:cs="Times New Roman"/>
          <w:sz w:val="24"/>
          <w:szCs w:val="24"/>
        </w:rPr>
        <w:t xml:space="preserve"> prohibited under</w:t>
      </w:r>
      <w:r w:rsidRPr="00D87A15">
        <w:rPr>
          <w:rFonts w:ascii="Times New Roman" w:hAnsi="Times New Roman" w:cs="Times New Roman"/>
          <w:sz w:val="24"/>
          <w:szCs w:val="24"/>
        </w:rPr>
        <w:t xml:space="preserve"> </w:t>
      </w:r>
      <w:r w:rsidR="001D24EE" w:rsidRPr="00D87A15">
        <w:rPr>
          <w:rFonts w:ascii="Times New Roman" w:hAnsi="Times New Roman" w:cs="Times New Roman"/>
          <w:sz w:val="24"/>
          <w:szCs w:val="24"/>
        </w:rPr>
        <w:t xml:space="preserve">any Arizona Board of Regents </w:t>
      </w:r>
      <w:r w:rsidR="0038137A">
        <w:rPr>
          <w:rFonts w:ascii="Times New Roman" w:hAnsi="Times New Roman" w:cs="Times New Roman"/>
          <w:sz w:val="24"/>
          <w:szCs w:val="24"/>
        </w:rPr>
        <w:t xml:space="preserve">(ABOR) </w:t>
      </w:r>
      <w:r w:rsidR="001D24EE" w:rsidRPr="00D87A15">
        <w:rPr>
          <w:rFonts w:ascii="Times New Roman" w:hAnsi="Times New Roman" w:cs="Times New Roman"/>
          <w:sz w:val="24"/>
          <w:szCs w:val="24"/>
        </w:rPr>
        <w:t>or</w:t>
      </w:r>
      <w:r w:rsidR="00AA3E1C">
        <w:rPr>
          <w:rFonts w:ascii="Times New Roman" w:hAnsi="Times New Roman" w:cs="Times New Roman"/>
          <w:sz w:val="24"/>
          <w:szCs w:val="24"/>
        </w:rPr>
        <w:t xml:space="preserve"> University policy or </w:t>
      </w:r>
      <w:r w:rsidR="00790B5B">
        <w:rPr>
          <w:rFonts w:ascii="Times New Roman" w:hAnsi="Times New Roman" w:cs="Times New Roman"/>
          <w:sz w:val="24"/>
          <w:szCs w:val="24"/>
        </w:rPr>
        <w:t xml:space="preserve">use that </w:t>
      </w:r>
      <w:r w:rsidR="00AA3E1C">
        <w:rPr>
          <w:rFonts w:ascii="Times New Roman" w:hAnsi="Times New Roman" w:cs="Times New Roman"/>
          <w:sz w:val="24"/>
          <w:szCs w:val="24"/>
        </w:rPr>
        <w:t>is otherwise illegal. This may include</w:t>
      </w:r>
      <w:r w:rsidR="001D24EE" w:rsidRPr="00D87A15">
        <w:rPr>
          <w:rFonts w:ascii="Times New Roman" w:hAnsi="Times New Roman" w:cs="Times New Roman"/>
          <w:sz w:val="24"/>
          <w:szCs w:val="24"/>
        </w:rPr>
        <w:t xml:space="preserve"> any </w:t>
      </w:r>
      <w:r w:rsidR="00AA3E1C">
        <w:rPr>
          <w:rFonts w:ascii="Times New Roman" w:hAnsi="Times New Roman" w:cs="Times New Roman"/>
          <w:sz w:val="24"/>
          <w:szCs w:val="24"/>
        </w:rPr>
        <w:t xml:space="preserve">reckless or intentional </w:t>
      </w:r>
      <w:r w:rsidR="001D24EE" w:rsidRPr="00D87A15">
        <w:rPr>
          <w:rFonts w:ascii="Times New Roman" w:hAnsi="Times New Roman" w:cs="Times New Roman"/>
          <w:sz w:val="24"/>
          <w:szCs w:val="24"/>
        </w:rPr>
        <w:t xml:space="preserve">use </w:t>
      </w:r>
      <w:r w:rsidR="00AA3E1C">
        <w:rPr>
          <w:rFonts w:ascii="Times New Roman" w:hAnsi="Times New Roman" w:cs="Times New Roman"/>
          <w:sz w:val="24"/>
          <w:szCs w:val="24"/>
        </w:rPr>
        <w:t>that</w:t>
      </w:r>
      <w:r w:rsidRPr="00D87A15">
        <w:rPr>
          <w:rFonts w:ascii="Times New Roman" w:hAnsi="Times New Roman" w:cs="Times New Roman"/>
          <w:sz w:val="24"/>
          <w:szCs w:val="24"/>
        </w:rPr>
        <w:t xml:space="preserve"> result</w:t>
      </w:r>
      <w:r w:rsidR="001D24EE" w:rsidRPr="00D87A15">
        <w:rPr>
          <w:rFonts w:ascii="Times New Roman" w:hAnsi="Times New Roman" w:cs="Times New Roman"/>
          <w:sz w:val="24"/>
          <w:szCs w:val="24"/>
        </w:rPr>
        <w:t>s</w:t>
      </w:r>
      <w:r w:rsidRPr="00D87A15">
        <w:rPr>
          <w:rFonts w:ascii="Times New Roman" w:hAnsi="Times New Roman" w:cs="Times New Roman"/>
          <w:sz w:val="24"/>
          <w:szCs w:val="24"/>
        </w:rPr>
        <w:t xml:space="preserve"> in loss, damage, or financial liability to the University</w:t>
      </w:r>
      <w:r w:rsidR="00AA3E1C">
        <w:rPr>
          <w:rFonts w:ascii="Times New Roman" w:hAnsi="Times New Roman" w:cs="Times New Roman"/>
          <w:sz w:val="24"/>
          <w:szCs w:val="24"/>
        </w:rPr>
        <w:t>. This may also include</w:t>
      </w:r>
      <w:r w:rsidR="00534EC4">
        <w:rPr>
          <w:rFonts w:ascii="Times New Roman" w:hAnsi="Times New Roman" w:cs="Times New Roman"/>
          <w:sz w:val="24"/>
          <w:szCs w:val="24"/>
        </w:rPr>
        <w:t xml:space="preserve"> </w:t>
      </w:r>
      <w:r w:rsidR="001D24EE" w:rsidRPr="00D87A15">
        <w:rPr>
          <w:rFonts w:ascii="Times New Roman" w:hAnsi="Times New Roman" w:cs="Times New Roman"/>
          <w:sz w:val="24"/>
          <w:szCs w:val="24"/>
        </w:rPr>
        <w:t>any use that results in a</w:t>
      </w:r>
      <w:r w:rsidR="00AA3E1C">
        <w:rPr>
          <w:rFonts w:ascii="Times New Roman" w:hAnsi="Times New Roman" w:cs="Times New Roman"/>
          <w:sz w:val="24"/>
          <w:szCs w:val="24"/>
        </w:rPr>
        <w:t xml:space="preserve"> gift or personal</w:t>
      </w:r>
      <w:r w:rsidR="001D24EE" w:rsidRPr="00D87A15">
        <w:rPr>
          <w:rFonts w:ascii="Times New Roman" w:hAnsi="Times New Roman" w:cs="Times New Roman"/>
          <w:sz w:val="24"/>
          <w:szCs w:val="24"/>
        </w:rPr>
        <w:t xml:space="preserve"> </w:t>
      </w:r>
      <w:r w:rsidRPr="00D87A15">
        <w:rPr>
          <w:rFonts w:ascii="Times New Roman" w:hAnsi="Times New Roman" w:cs="Times New Roman"/>
          <w:sz w:val="24"/>
          <w:szCs w:val="24"/>
        </w:rPr>
        <w:t xml:space="preserve">gain to </w:t>
      </w:r>
      <w:r w:rsidR="00AA3E1C">
        <w:rPr>
          <w:rFonts w:ascii="Times New Roman" w:hAnsi="Times New Roman" w:cs="Times New Roman"/>
          <w:sz w:val="24"/>
          <w:szCs w:val="24"/>
        </w:rPr>
        <w:t>an</w:t>
      </w:r>
      <w:r w:rsidRPr="00D87A15">
        <w:rPr>
          <w:rFonts w:ascii="Times New Roman" w:hAnsi="Times New Roman" w:cs="Times New Roman"/>
          <w:sz w:val="24"/>
          <w:szCs w:val="24"/>
        </w:rPr>
        <w:t xml:space="preserve"> individual or a third party and no benefit to the University. </w:t>
      </w:r>
      <w:r w:rsidR="008A47A3">
        <w:rPr>
          <w:rFonts w:ascii="Times New Roman" w:hAnsi="Times New Roman" w:cs="Times New Roman"/>
          <w:sz w:val="24"/>
          <w:szCs w:val="24"/>
        </w:rPr>
        <w:t xml:space="preserve">Examples of misuse include but are not limited to, </w:t>
      </w:r>
      <w:r w:rsidR="009E4C2E">
        <w:rPr>
          <w:rFonts w:ascii="Times New Roman" w:hAnsi="Times New Roman" w:cs="Times New Roman"/>
          <w:sz w:val="24"/>
          <w:szCs w:val="24"/>
        </w:rPr>
        <w:t xml:space="preserve">fraud, theft, </w:t>
      </w:r>
      <w:r w:rsidR="00111C09">
        <w:rPr>
          <w:rFonts w:ascii="Times New Roman" w:hAnsi="Times New Roman" w:cs="Times New Roman"/>
          <w:sz w:val="24"/>
          <w:szCs w:val="24"/>
        </w:rPr>
        <w:t>u</w:t>
      </w:r>
      <w:r w:rsidR="00936041">
        <w:rPr>
          <w:rFonts w:ascii="Times New Roman" w:hAnsi="Times New Roman" w:cs="Times New Roman"/>
          <w:sz w:val="24"/>
          <w:szCs w:val="24"/>
        </w:rPr>
        <w:t xml:space="preserve">se of </w:t>
      </w:r>
      <w:r w:rsidR="00111C09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E56D72">
        <w:rPr>
          <w:rFonts w:ascii="Times New Roman" w:hAnsi="Times New Roman" w:cs="Times New Roman"/>
          <w:sz w:val="24"/>
          <w:szCs w:val="24"/>
        </w:rPr>
        <w:t>a</w:t>
      </w:r>
      <w:r w:rsidR="00111C09">
        <w:rPr>
          <w:rFonts w:ascii="Times New Roman" w:hAnsi="Times New Roman" w:cs="Times New Roman"/>
          <w:sz w:val="24"/>
          <w:szCs w:val="24"/>
        </w:rPr>
        <w:t>ssets for personal purposes</w:t>
      </w:r>
      <w:r w:rsidR="008473F9">
        <w:rPr>
          <w:rFonts w:ascii="Times New Roman" w:hAnsi="Times New Roman" w:cs="Times New Roman"/>
          <w:sz w:val="24"/>
          <w:szCs w:val="24"/>
        </w:rPr>
        <w:t>,</w:t>
      </w:r>
      <w:r w:rsidR="00CA0B71">
        <w:rPr>
          <w:rFonts w:ascii="Times New Roman" w:hAnsi="Times New Roman" w:cs="Times New Roman"/>
          <w:sz w:val="24"/>
          <w:szCs w:val="24"/>
        </w:rPr>
        <w:t xml:space="preserve"> and </w:t>
      </w:r>
      <w:r w:rsidR="009E4C2E">
        <w:rPr>
          <w:rFonts w:ascii="Times New Roman" w:hAnsi="Times New Roman" w:cs="Times New Roman"/>
          <w:sz w:val="24"/>
          <w:szCs w:val="24"/>
        </w:rPr>
        <w:t xml:space="preserve">any reckless or intentional </w:t>
      </w:r>
      <w:r w:rsidR="00936041">
        <w:rPr>
          <w:rFonts w:ascii="Times New Roman" w:hAnsi="Times New Roman" w:cs="Times New Roman"/>
          <w:sz w:val="24"/>
          <w:szCs w:val="24"/>
        </w:rPr>
        <w:t xml:space="preserve">use </w:t>
      </w:r>
      <w:r w:rsidR="00CA0B71">
        <w:rPr>
          <w:rFonts w:ascii="Times New Roman" w:hAnsi="Times New Roman" w:cs="Times New Roman"/>
          <w:sz w:val="24"/>
          <w:szCs w:val="24"/>
        </w:rPr>
        <w:t xml:space="preserve">that </w:t>
      </w:r>
      <w:r w:rsidR="00936041">
        <w:rPr>
          <w:rFonts w:ascii="Times New Roman" w:hAnsi="Times New Roman" w:cs="Times New Roman"/>
          <w:sz w:val="24"/>
          <w:szCs w:val="24"/>
        </w:rPr>
        <w:t>diminishes</w:t>
      </w:r>
      <w:r w:rsidR="00CA0B71">
        <w:rPr>
          <w:rFonts w:ascii="Times New Roman" w:hAnsi="Times New Roman" w:cs="Times New Roman"/>
          <w:sz w:val="24"/>
          <w:szCs w:val="24"/>
        </w:rPr>
        <w:t xml:space="preserve"> the value of University assets.</w:t>
      </w:r>
    </w:p>
    <w:p w14:paraId="71DD8528" w14:textId="1190F99E" w:rsidR="00E45D49" w:rsidRPr="00D87A15" w:rsidRDefault="001D24EE" w:rsidP="00AC135C">
      <w:pPr>
        <w:pStyle w:val="PolicyText"/>
        <w:rPr>
          <w:rFonts w:cs="Times New Roman"/>
          <w:sz w:val="24"/>
          <w:szCs w:val="24"/>
        </w:rPr>
      </w:pPr>
      <w:r w:rsidRPr="00D87A15">
        <w:rPr>
          <w:rFonts w:cs="Times New Roman"/>
          <w:b/>
          <w:bCs/>
          <w:sz w:val="24"/>
          <w:szCs w:val="24"/>
        </w:rPr>
        <w:t>University Assets</w:t>
      </w:r>
      <w:r w:rsidR="00AC135C" w:rsidRPr="00D87A15">
        <w:rPr>
          <w:rFonts w:cs="Times New Roman"/>
          <w:b/>
          <w:bCs/>
          <w:sz w:val="24"/>
          <w:szCs w:val="24"/>
        </w:rPr>
        <w:t> </w:t>
      </w:r>
      <w:r w:rsidRPr="00D87A15">
        <w:rPr>
          <w:rFonts w:cs="Times New Roman"/>
          <w:sz w:val="24"/>
          <w:szCs w:val="24"/>
        </w:rPr>
        <w:t>include</w:t>
      </w:r>
      <w:r w:rsidR="00AC135C" w:rsidRPr="00D87A15">
        <w:rPr>
          <w:rFonts w:cs="Times New Roman"/>
          <w:sz w:val="24"/>
          <w:szCs w:val="24"/>
        </w:rPr>
        <w:t xml:space="preserve"> items of tangible or intangible property owned by, leased to, licensed to, or in the possession of the University of Arizona. </w:t>
      </w:r>
      <w:r w:rsidRPr="00D87A15">
        <w:rPr>
          <w:rFonts w:cs="Times New Roman"/>
          <w:sz w:val="24"/>
          <w:szCs w:val="24"/>
        </w:rPr>
        <w:t xml:space="preserve">University </w:t>
      </w:r>
      <w:r w:rsidR="00D14187">
        <w:rPr>
          <w:rFonts w:cs="Times New Roman"/>
          <w:sz w:val="24"/>
          <w:szCs w:val="24"/>
        </w:rPr>
        <w:t>a</w:t>
      </w:r>
      <w:r w:rsidR="00AC135C" w:rsidRPr="00D87A15">
        <w:rPr>
          <w:rFonts w:cs="Times New Roman"/>
          <w:sz w:val="24"/>
          <w:szCs w:val="24"/>
        </w:rPr>
        <w:t>ssets</w:t>
      </w:r>
      <w:r w:rsidR="00516577" w:rsidRPr="00D87A15">
        <w:rPr>
          <w:rFonts w:cs="Times New Roman"/>
          <w:sz w:val="24"/>
          <w:szCs w:val="24"/>
        </w:rPr>
        <w:t xml:space="preserve"> also include items that are </w:t>
      </w:r>
      <w:r w:rsidR="00AC135C" w:rsidRPr="00D87A15">
        <w:rPr>
          <w:rFonts w:cs="Times New Roman"/>
          <w:sz w:val="24"/>
          <w:szCs w:val="24"/>
        </w:rPr>
        <w:t xml:space="preserve">rightfully </w:t>
      </w:r>
      <w:r w:rsidR="00516577" w:rsidRPr="00D87A15">
        <w:rPr>
          <w:rFonts w:cs="Times New Roman"/>
          <w:sz w:val="24"/>
          <w:szCs w:val="24"/>
        </w:rPr>
        <w:t>a University</w:t>
      </w:r>
      <w:r w:rsidR="00AC135C" w:rsidRPr="00D87A15">
        <w:rPr>
          <w:rFonts w:cs="Times New Roman"/>
          <w:sz w:val="24"/>
          <w:szCs w:val="24"/>
        </w:rPr>
        <w:t xml:space="preserve"> </w:t>
      </w:r>
      <w:r w:rsidR="00D14187">
        <w:rPr>
          <w:rFonts w:cs="Times New Roman"/>
          <w:sz w:val="24"/>
          <w:szCs w:val="24"/>
        </w:rPr>
        <w:t>a</w:t>
      </w:r>
      <w:r w:rsidR="00AC135C" w:rsidRPr="00D87A15">
        <w:rPr>
          <w:rFonts w:cs="Times New Roman"/>
          <w:sz w:val="24"/>
          <w:szCs w:val="24"/>
        </w:rPr>
        <w:t>sset but did not</w:t>
      </w:r>
      <w:r w:rsidR="00516577" w:rsidRPr="00D87A15">
        <w:rPr>
          <w:rFonts w:cs="Times New Roman"/>
          <w:sz w:val="24"/>
          <w:szCs w:val="24"/>
        </w:rPr>
        <w:t xml:space="preserve"> become a University </w:t>
      </w:r>
      <w:r w:rsidR="00D14187">
        <w:rPr>
          <w:rFonts w:cs="Times New Roman"/>
          <w:sz w:val="24"/>
          <w:szCs w:val="24"/>
        </w:rPr>
        <w:t>a</w:t>
      </w:r>
      <w:r w:rsidR="00516577" w:rsidRPr="00D87A15">
        <w:rPr>
          <w:rFonts w:cs="Times New Roman"/>
          <w:sz w:val="24"/>
          <w:szCs w:val="24"/>
        </w:rPr>
        <w:t>sset</w:t>
      </w:r>
      <w:r w:rsidR="00AC135C" w:rsidRPr="00D87A15">
        <w:rPr>
          <w:rFonts w:cs="Times New Roman"/>
          <w:sz w:val="24"/>
          <w:szCs w:val="24"/>
        </w:rPr>
        <w:t xml:space="preserve"> due to </w:t>
      </w:r>
      <w:r w:rsidR="00D14187">
        <w:rPr>
          <w:rFonts w:cs="Times New Roman"/>
          <w:sz w:val="24"/>
          <w:szCs w:val="24"/>
        </w:rPr>
        <w:t>m</w:t>
      </w:r>
      <w:r w:rsidR="00AA3E1C">
        <w:rPr>
          <w:rFonts w:cs="Times New Roman"/>
          <w:sz w:val="24"/>
          <w:szCs w:val="24"/>
        </w:rPr>
        <w:t>isuse. Examples</w:t>
      </w:r>
      <w:r w:rsidR="00A97BEC">
        <w:rPr>
          <w:rFonts w:cs="Times New Roman"/>
          <w:sz w:val="24"/>
          <w:szCs w:val="24"/>
        </w:rPr>
        <w:t xml:space="preserve"> of University </w:t>
      </w:r>
      <w:r w:rsidR="00D14187">
        <w:rPr>
          <w:rFonts w:cs="Times New Roman"/>
          <w:sz w:val="24"/>
          <w:szCs w:val="24"/>
        </w:rPr>
        <w:t>a</w:t>
      </w:r>
      <w:r w:rsidR="00A97BEC">
        <w:rPr>
          <w:rFonts w:cs="Times New Roman"/>
          <w:sz w:val="24"/>
          <w:szCs w:val="24"/>
        </w:rPr>
        <w:t>ssets</w:t>
      </w:r>
      <w:r w:rsidR="00AA3E1C">
        <w:rPr>
          <w:rFonts w:cs="Times New Roman"/>
          <w:sz w:val="24"/>
          <w:szCs w:val="24"/>
        </w:rPr>
        <w:t xml:space="preserve"> include </w:t>
      </w:r>
      <w:r w:rsidR="00F50752">
        <w:rPr>
          <w:rFonts w:cs="Times New Roman"/>
          <w:sz w:val="24"/>
          <w:szCs w:val="24"/>
        </w:rPr>
        <w:t xml:space="preserve">but are not limited to, </w:t>
      </w:r>
      <w:r w:rsidR="00B22BAD">
        <w:rPr>
          <w:rFonts w:cs="Times New Roman"/>
          <w:sz w:val="24"/>
          <w:szCs w:val="24"/>
        </w:rPr>
        <w:t xml:space="preserve">money, </w:t>
      </w:r>
      <w:r w:rsidR="00F10B1B">
        <w:rPr>
          <w:rFonts w:cs="Times New Roman"/>
          <w:sz w:val="24"/>
          <w:szCs w:val="24"/>
        </w:rPr>
        <w:t>paid employee</w:t>
      </w:r>
      <w:r w:rsidR="00F50752">
        <w:rPr>
          <w:rFonts w:cs="Times New Roman"/>
          <w:sz w:val="24"/>
          <w:szCs w:val="24"/>
        </w:rPr>
        <w:t xml:space="preserve"> time, </w:t>
      </w:r>
      <w:r w:rsidR="00B22BAD">
        <w:rPr>
          <w:rFonts w:cs="Times New Roman"/>
          <w:sz w:val="24"/>
          <w:szCs w:val="24"/>
        </w:rPr>
        <w:t xml:space="preserve">proprietary information, </w:t>
      </w:r>
      <w:r w:rsidR="00F50752">
        <w:rPr>
          <w:rFonts w:cs="Times New Roman"/>
          <w:sz w:val="24"/>
          <w:szCs w:val="24"/>
        </w:rPr>
        <w:t>intellectual property</w:t>
      </w:r>
      <w:r w:rsidR="00405F18">
        <w:rPr>
          <w:rFonts w:cs="Times New Roman"/>
          <w:sz w:val="24"/>
          <w:szCs w:val="24"/>
        </w:rPr>
        <w:t xml:space="preserve"> </w:t>
      </w:r>
      <w:bookmarkStart w:id="0" w:name="_Hlk33183567"/>
      <w:r w:rsidR="00405F18">
        <w:rPr>
          <w:rFonts w:cs="Times New Roman"/>
          <w:sz w:val="24"/>
          <w:szCs w:val="24"/>
        </w:rPr>
        <w:t>such as</w:t>
      </w:r>
      <w:r w:rsidR="00405F18" w:rsidRPr="00405F18">
        <w:rPr>
          <w:rFonts w:cs="Times New Roman"/>
          <w:sz w:val="24"/>
          <w:szCs w:val="24"/>
        </w:rPr>
        <w:t xml:space="preserve"> </w:t>
      </w:r>
      <w:r w:rsidR="00405F18">
        <w:rPr>
          <w:rFonts w:cs="Times New Roman"/>
          <w:sz w:val="24"/>
          <w:szCs w:val="24"/>
        </w:rPr>
        <w:t>patents</w:t>
      </w:r>
      <w:r w:rsidR="00F50752">
        <w:rPr>
          <w:rFonts w:cs="Times New Roman"/>
          <w:sz w:val="24"/>
          <w:szCs w:val="24"/>
        </w:rPr>
        <w:t>,</w:t>
      </w:r>
      <w:r w:rsidR="00405F18">
        <w:rPr>
          <w:rFonts w:cs="Times New Roman"/>
          <w:sz w:val="24"/>
          <w:szCs w:val="24"/>
        </w:rPr>
        <w:t xml:space="preserve"> trademarks, and copyrights</w:t>
      </w:r>
      <w:bookmarkEnd w:id="0"/>
      <w:r w:rsidR="00405F18">
        <w:rPr>
          <w:rFonts w:cs="Times New Roman"/>
          <w:sz w:val="24"/>
          <w:szCs w:val="24"/>
        </w:rPr>
        <w:t>,</w:t>
      </w:r>
      <w:r w:rsidR="00F50752">
        <w:rPr>
          <w:rFonts w:cs="Times New Roman"/>
          <w:sz w:val="24"/>
          <w:szCs w:val="24"/>
        </w:rPr>
        <w:t xml:space="preserve"> </w:t>
      </w:r>
      <w:r w:rsidR="006D73A0">
        <w:rPr>
          <w:rFonts w:cs="Times New Roman"/>
          <w:sz w:val="24"/>
          <w:szCs w:val="24"/>
        </w:rPr>
        <w:t xml:space="preserve">land, </w:t>
      </w:r>
      <w:r w:rsidR="00F10B1B">
        <w:rPr>
          <w:rFonts w:cs="Times New Roman"/>
          <w:sz w:val="24"/>
          <w:szCs w:val="24"/>
        </w:rPr>
        <w:t>buildings</w:t>
      </w:r>
      <w:r w:rsidR="00A11E7A">
        <w:rPr>
          <w:rFonts w:cs="Times New Roman"/>
          <w:sz w:val="24"/>
          <w:szCs w:val="24"/>
        </w:rPr>
        <w:t>,</w:t>
      </w:r>
      <w:r w:rsidR="00F10B1B">
        <w:rPr>
          <w:rFonts w:cs="Times New Roman"/>
          <w:sz w:val="24"/>
          <w:szCs w:val="24"/>
        </w:rPr>
        <w:t xml:space="preserve"> </w:t>
      </w:r>
      <w:r w:rsidR="0026030D">
        <w:rPr>
          <w:rFonts w:cs="Times New Roman"/>
          <w:sz w:val="24"/>
          <w:szCs w:val="24"/>
        </w:rPr>
        <w:t xml:space="preserve">improvements, </w:t>
      </w:r>
      <w:r w:rsidR="00A11E7A">
        <w:rPr>
          <w:rFonts w:cs="Times New Roman"/>
          <w:sz w:val="24"/>
          <w:szCs w:val="24"/>
        </w:rPr>
        <w:t xml:space="preserve">equipment, </w:t>
      </w:r>
      <w:r w:rsidR="007B78BE">
        <w:rPr>
          <w:rFonts w:cs="Times New Roman"/>
          <w:sz w:val="24"/>
          <w:szCs w:val="24"/>
        </w:rPr>
        <w:t xml:space="preserve">vehicles, </w:t>
      </w:r>
      <w:r w:rsidR="00F10B1B">
        <w:rPr>
          <w:rFonts w:cs="Times New Roman"/>
          <w:sz w:val="24"/>
          <w:szCs w:val="24"/>
        </w:rPr>
        <w:t xml:space="preserve">software, </w:t>
      </w:r>
      <w:r w:rsidR="00A11E7A">
        <w:rPr>
          <w:rFonts w:cs="Times New Roman"/>
          <w:sz w:val="24"/>
          <w:szCs w:val="24"/>
        </w:rPr>
        <w:t xml:space="preserve">supplies, </w:t>
      </w:r>
      <w:r w:rsidR="009340C2">
        <w:rPr>
          <w:rFonts w:cs="Times New Roman"/>
          <w:sz w:val="24"/>
          <w:szCs w:val="24"/>
        </w:rPr>
        <w:t xml:space="preserve">tools, </w:t>
      </w:r>
      <w:r w:rsidR="00F10B1B">
        <w:rPr>
          <w:rFonts w:cs="Times New Roman"/>
          <w:sz w:val="24"/>
          <w:szCs w:val="24"/>
        </w:rPr>
        <w:t xml:space="preserve">inventory, </w:t>
      </w:r>
      <w:r w:rsidR="00405F18">
        <w:rPr>
          <w:rFonts w:cs="Times New Roman"/>
          <w:sz w:val="24"/>
          <w:szCs w:val="24"/>
        </w:rPr>
        <w:t xml:space="preserve">library volumes, art objects, </w:t>
      </w:r>
      <w:r w:rsidR="00F10B1B">
        <w:rPr>
          <w:rFonts w:cs="Times New Roman"/>
          <w:sz w:val="24"/>
          <w:szCs w:val="24"/>
        </w:rPr>
        <w:t>and</w:t>
      </w:r>
      <w:r w:rsidR="00405F18">
        <w:rPr>
          <w:rFonts w:cs="Times New Roman"/>
          <w:sz w:val="24"/>
          <w:szCs w:val="24"/>
        </w:rPr>
        <w:t xml:space="preserve"> museum pieces</w:t>
      </w:r>
      <w:r w:rsidR="00F10B1B">
        <w:rPr>
          <w:rFonts w:cs="Times New Roman"/>
          <w:sz w:val="24"/>
          <w:szCs w:val="24"/>
        </w:rPr>
        <w:t>.</w:t>
      </w:r>
    </w:p>
    <w:p w14:paraId="50FDE9F8" w14:textId="77777777" w:rsidR="00D54561" w:rsidRPr="00B01019" w:rsidRDefault="00D54561" w:rsidP="00B01019">
      <w:pPr>
        <w:pStyle w:val="SectionTitle"/>
      </w:pPr>
      <w:r w:rsidRPr="00F14568">
        <w:t>Policy</w:t>
      </w:r>
    </w:p>
    <w:p w14:paraId="3805B1B3" w14:textId="107FE8BD" w:rsidR="00516577" w:rsidRDefault="00516577" w:rsidP="00644F40">
      <w:pPr>
        <w:pStyle w:val="PolicyText"/>
        <w:rPr>
          <w:sz w:val="24"/>
          <w:szCs w:val="24"/>
        </w:rPr>
      </w:pPr>
      <w:r w:rsidRPr="00D87A15">
        <w:rPr>
          <w:sz w:val="24"/>
          <w:szCs w:val="24"/>
        </w:rPr>
        <w:t>A.</w:t>
      </w:r>
      <w:r w:rsidRPr="00D87A15">
        <w:rPr>
          <w:sz w:val="24"/>
          <w:szCs w:val="24"/>
        </w:rPr>
        <w:tab/>
        <w:t xml:space="preserve">University </w:t>
      </w:r>
      <w:r w:rsidR="00D14187">
        <w:rPr>
          <w:sz w:val="24"/>
          <w:szCs w:val="24"/>
        </w:rPr>
        <w:t>a</w:t>
      </w:r>
      <w:r w:rsidRPr="00D87A15">
        <w:rPr>
          <w:sz w:val="24"/>
          <w:szCs w:val="24"/>
        </w:rPr>
        <w:t>ssets</w:t>
      </w:r>
      <w:r w:rsidR="00A42B63">
        <w:rPr>
          <w:sz w:val="24"/>
          <w:szCs w:val="24"/>
        </w:rPr>
        <w:t xml:space="preserve"> must not be misused</w:t>
      </w:r>
      <w:r w:rsidRPr="00D87A15">
        <w:rPr>
          <w:sz w:val="24"/>
          <w:szCs w:val="24"/>
        </w:rPr>
        <w:t>.</w:t>
      </w:r>
    </w:p>
    <w:p w14:paraId="5FF618CD" w14:textId="63407325" w:rsidR="0061063F" w:rsidRDefault="0061063F" w:rsidP="00644F40">
      <w:pPr>
        <w:pStyle w:val="Polic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 xml:space="preserve">The University considers misuse of assets a serious matter and will investigate reports of misuse </w:t>
      </w:r>
      <w:r w:rsidR="00241B22">
        <w:rPr>
          <w:sz w:val="24"/>
          <w:szCs w:val="24"/>
        </w:rPr>
        <w:t>and take appropriate disciplinary and legal actions.</w:t>
      </w:r>
    </w:p>
    <w:p w14:paraId="37147A48" w14:textId="0A0D8D91" w:rsidR="00355DD2" w:rsidRDefault="00241B22" w:rsidP="00DB69D6">
      <w:pPr>
        <w:pStyle w:val="Polic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C</w:t>
      </w:r>
      <w:r w:rsidR="00DB69D6">
        <w:rPr>
          <w:sz w:val="24"/>
          <w:szCs w:val="24"/>
        </w:rPr>
        <w:t>.</w:t>
      </w:r>
      <w:r w:rsidR="00DB69D6">
        <w:rPr>
          <w:sz w:val="24"/>
          <w:szCs w:val="24"/>
        </w:rPr>
        <w:tab/>
      </w:r>
      <w:r w:rsidR="005D55E0">
        <w:rPr>
          <w:sz w:val="24"/>
          <w:szCs w:val="24"/>
        </w:rPr>
        <w:t xml:space="preserve">All levels of </w:t>
      </w:r>
      <w:r w:rsidR="00DB69D6" w:rsidRPr="00DB69D6">
        <w:rPr>
          <w:sz w:val="24"/>
          <w:szCs w:val="24"/>
        </w:rPr>
        <w:t xml:space="preserve">University </w:t>
      </w:r>
      <w:r w:rsidR="00E45D49">
        <w:rPr>
          <w:sz w:val="24"/>
          <w:szCs w:val="24"/>
        </w:rPr>
        <w:t>m</w:t>
      </w:r>
      <w:r w:rsidR="00DB69D6" w:rsidRPr="00DB69D6">
        <w:rPr>
          <w:sz w:val="24"/>
          <w:szCs w:val="24"/>
        </w:rPr>
        <w:t xml:space="preserve">anagement </w:t>
      </w:r>
      <w:r w:rsidR="00BD3992">
        <w:rPr>
          <w:sz w:val="24"/>
          <w:szCs w:val="24"/>
        </w:rPr>
        <w:t>are</w:t>
      </w:r>
      <w:r w:rsidR="00DB69D6" w:rsidRPr="00DB69D6">
        <w:rPr>
          <w:sz w:val="24"/>
          <w:szCs w:val="24"/>
        </w:rPr>
        <w:t xml:space="preserve"> responsible for implementing and maintaining a system of </w:t>
      </w:r>
      <w:hyperlink r:id="rId17" w:history="1">
        <w:r w:rsidR="00DB69D6" w:rsidRPr="00CE2913">
          <w:rPr>
            <w:rStyle w:val="Hyperlink"/>
            <w:sz w:val="24"/>
            <w:szCs w:val="24"/>
          </w:rPr>
          <w:t>internal controls</w:t>
        </w:r>
      </w:hyperlink>
      <w:r w:rsidR="00DB69D6" w:rsidRPr="00DB69D6">
        <w:rPr>
          <w:sz w:val="24"/>
          <w:szCs w:val="24"/>
        </w:rPr>
        <w:t xml:space="preserve"> to prevent and detect misuse</w:t>
      </w:r>
      <w:r w:rsidR="00DB69D6">
        <w:rPr>
          <w:sz w:val="24"/>
          <w:szCs w:val="24"/>
        </w:rPr>
        <w:t xml:space="preserve"> of assets and must be familiar with the risks of misuse within their area of responsibility.</w:t>
      </w:r>
    </w:p>
    <w:p w14:paraId="354CDA98" w14:textId="67E2DA71" w:rsidR="00DB69D6" w:rsidRPr="00D87A15" w:rsidRDefault="00355DD2" w:rsidP="00DB69D6">
      <w:pPr>
        <w:pStyle w:val="Polic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With respect to financial matters, the University will adhere to</w:t>
      </w:r>
      <w:r w:rsidR="00EF11B3">
        <w:rPr>
          <w:sz w:val="24"/>
          <w:szCs w:val="24"/>
        </w:rPr>
        <w:t xml:space="preserve"> all related policies and guidance including</w:t>
      </w:r>
      <w:r>
        <w:rPr>
          <w:sz w:val="24"/>
          <w:szCs w:val="24"/>
        </w:rPr>
        <w:t xml:space="preserve"> the </w:t>
      </w:r>
      <w:hyperlink r:id="rId18" w:history="1">
        <w:r w:rsidRPr="00355DD2">
          <w:rPr>
            <w:rStyle w:val="Hyperlink"/>
            <w:sz w:val="24"/>
            <w:szCs w:val="24"/>
          </w:rPr>
          <w:t>State of Arizona Code of Conduct for Employees Engaged in Accounting, Financial, and Budgeting Activities</w:t>
        </w:r>
      </w:hyperlink>
      <w:r>
        <w:rPr>
          <w:sz w:val="24"/>
          <w:szCs w:val="24"/>
        </w:rPr>
        <w:t xml:space="preserve">. </w:t>
      </w:r>
    </w:p>
    <w:p w14:paraId="4D7EFB5D" w14:textId="45E5D3CD" w:rsidR="00516577" w:rsidRPr="00D87A15" w:rsidRDefault="00355DD2" w:rsidP="00516577">
      <w:pPr>
        <w:pStyle w:val="Polic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E</w:t>
      </w:r>
      <w:r w:rsidR="00091B2B" w:rsidRPr="00D87A15">
        <w:rPr>
          <w:sz w:val="24"/>
          <w:szCs w:val="24"/>
        </w:rPr>
        <w:t>.</w:t>
      </w:r>
      <w:r w:rsidR="00091B2B" w:rsidRPr="00D87A15">
        <w:rPr>
          <w:sz w:val="24"/>
          <w:szCs w:val="24"/>
        </w:rPr>
        <w:tab/>
      </w:r>
      <w:r w:rsidR="00516577" w:rsidRPr="00D87A15">
        <w:rPr>
          <w:sz w:val="24"/>
          <w:szCs w:val="24"/>
        </w:rPr>
        <w:t>Employees</w:t>
      </w:r>
      <w:r w:rsidR="00393F36">
        <w:rPr>
          <w:sz w:val="24"/>
          <w:szCs w:val="24"/>
        </w:rPr>
        <w:t xml:space="preserve"> and DCCs</w:t>
      </w:r>
      <w:r w:rsidR="00516577" w:rsidRPr="00D87A15">
        <w:rPr>
          <w:sz w:val="24"/>
          <w:szCs w:val="24"/>
        </w:rPr>
        <w:t xml:space="preserve"> must report activities or incidents that appear to be </w:t>
      </w:r>
      <w:r w:rsidR="00D14187">
        <w:rPr>
          <w:sz w:val="24"/>
          <w:szCs w:val="24"/>
        </w:rPr>
        <w:t>m</w:t>
      </w:r>
      <w:r w:rsidR="00516577" w:rsidRPr="00D87A15">
        <w:rPr>
          <w:sz w:val="24"/>
          <w:szCs w:val="24"/>
        </w:rPr>
        <w:t xml:space="preserve">isuse of University </w:t>
      </w:r>
      <w:r w:rsidR="00DD229F">
        <w:rPr>
          <w:sz w:val="24"/>
          <w:szCs w:val="24"/>
        </w:rPr>
        <w:t>a</w:t>
      </w:r>
      <w:r w:rsidR="00516577" w:rsidRPr="00D87A15">
        <w:rPr>
          <w:sz w:val="24"/>
          <w:szCs w:val="24"/>
        </w:rPr>
        <w:t>ssets</w:t>
      </w:r>
      <w:r w:rsidR="00F10B1B">
        <w:rPr>
          <w:sz w:val="24"/>
          <w:szCs w:val="24"/>
        </w:rPr>
        <w:t xml:space="preserve">, including </w:t>
      </w:r>
      <w:r w:rsidR="00D14187">
        <w:rPr>
          <w:sz w:val="24"/>
          <w:szCs w:val="24"/>
        </w:rPr>
        <w:t>m</w:t>
      </w:r>
      <w:r w:rsidR="00F10B1B">
        <w:rPr>
          <w:sz w:val="24"/>
          <w:szCs w:val="24"/>
        </w:rPr>
        <w:t xml:space="preserve">isuse by other employees, students, </w:t>
      </w:r>
      <w:r w:rsidR="006B1537">
        <w:rPr>
          <w:sz w:val="24"/>
          <w:szCs w:val="24"/>
        </w:rPr>
        <w:t>DCCs</w:t>
      </w:r>
      <w:r w:rsidR="00534EC4">
        <w:rPr>
          <w:sz w:val="24"/>
          <w:szCs w:val="24"/>
        </w:rPr>
        <w:t xml:space="preserve">, </w:t>
      </w:r>
      <w:r w:rsidR="00F10B1B">
        <w:rPr>
          <w:sz w:val="24"/>
          <w:szCs w:val="24"/>
        </w:rPr>
        <w:t>third party vendor</w:t>
      </w:r>
      <w:r w:rsidR="00534EC4">
        <w:rPr>
          <w:sz w:val="24"/>
          <w:szCs w:val="24"/>
        </w:rPr>
        <w:t>s, or</w:t>
      </w:r>
      <w:r w:rsidR="00F10B1B">
        <w:rPr>
          <w:sz w:val="24"/>
          <w:szCs w:val="24"/>
        </w:rPr>
        <w:t xml:space="preserve"> University agents</w:t>
      </w:r>
      <w:r w:rsidR="00973D1A">
        <w:rPr>
          <w:sz w:val="24"/>
          <w:szCs w:val="24"/>
        </w:rPr>
        <w:t>.</w:t>
      </w:r>
      <w:r w:rsidR="00516577" w:rsidRPr="00D87A15">
        <w:rPr>
          <w:sz w:val="24"/>
          <w:szCs w:val="24"/>
        </w:rPr>
        <w:t xml:space="preserve">  </w:t>
      </w:r>
      <w:r w:rsidR="002D40B2">
        <w:rPr>
          <w:sz w:val="24"/>
          <w:szCs w:val="24"/>
        </w:rPr>
        <w:t xml:space="preserve">  </w:t>
      </w:r>
    </w:p>
    <w:p w14:paraId="1024CC4F" w14:textId="04CC61C0" w:rsidR="00FB6150" w:rsidRPr="00D87A15" w:rsidRDefault="00355DD2" w:rsidP="00FB6150">
      <w:pPr>
        <w:pStyle w:val="PolicyText"/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F</w:t>
      </w:r>
      <w:r w:rsidR="00516577" w:rsidRPr="00D87A15">
        <w:rPr>
          <w:sz w:val="24"/>
          <w:szCs w:val="24"/>
        </w:rPr>
        <w:t>.</w:t>
      </w:r>
      <w:r w:rsidR="00516577" w:rsidRPr="00D87A15">
        <w:rPr>
          <w:sz w:val="24"/>
          <w:szCs w:val="24"/>
        </w:rPr>
        <w:tab/>
      </w:r>
      <w:r w:rsidR="00871CCB">
        <w:rPr>
          <w:sz w:val="24"/>
          <w:szCs w:val="24"/>
        </w:rPr>
        <w:t xml:space="preserve">Personnel receiving reports of misuse </w:t>
      </w:r>
      <w:r w:rsidR="0038137A">
        <w:rPr>
          <w:sz w:val="24"/>
          <w:szCs w:val="24"/>
        </w:rPr>
        <w:t>must</w:t>
      </w:r>
      <w:r w:rsidR="00516577" w:rsidRPr="00D87A15">
        <w:rPr>
          <w:sz w:val="24"/>
          <w:szCs w:val="24"/>
        </w:rPr>
        <w:t xml:space="preserve"> consult with a </w:t>
      </w:r>
      <w:r w:rsidR="00A97BEC">
        <w:rPr>
          <w:sz w:val="24"/>
          <w:szCs w:val="24"/>
        </w:rPr>
        <w:t xml:space="preserve">designated </w:t>
      </w:r>
      <w:r w:rsidR="00516577" w:rsidRPr="00D87A15">
        <w:rPr>
          <w:sz w:val="24"/>
          <w:szCs w:val="24"/>
        </w:rPr>
        <w:t xml:space="preserve">representative from </w:t>
      </w:r>
      <w:r w:rsidR="0038137A">
        <w:rPr>
          <w:sz w:val="24"/>
          <w:szCs w:val="24"/>
        </w:rPr>
        <w:t xml:space="preserve">the Business Affairs Office </w:t>
      </w:r>
      <w:r w:rsidR="00516577" w:rsidRPr="00D87A15">
        <w:rPr>
          <w:sz w:val="24"/>
          <w:szCs w:val="24"/>
        </w:rPr>
        <w:t xml:space="preserve">to </w:t>
      </w:r>
      <w:r w:rsidR="0054059D" w:rsidRPr="00D87A15">
        <w:rPr>
          <w:sz w:val="24"/>
          <w:szCs w:val="24"/>
        </w:rPr>
        <w:t xml:space="preserve">discuss the reported </w:t>
      </w:r>
      <w:r w:rsidR="00D14187">
        <w:rPr>
          <w:sz w:val="24"/>
          <w:szCs w:val="24"/>
        </w:rPr>
        <w:t>m</w:t>
      </w:r>
      <w:r w:rsidR="0054059D" w:rsidRPr="00D87A15">
        <w:rPr>
          <w:sz w:val="24"/>
          <w:szCs w:val="24"/>
        </w:rPr>
        <w:t>isuse and determine subsequent action</w:t>
      </w:r>
      <w:r w:rsidR="00516577" w:rsidRPr="00D87A15">
        <w:rPr>
          <w:sz w:val="24"/>
          <w:szCs w:val="24"/>
        </w:rPr>
        <w:t>.</w:t>
      </w:r>
    </w:p>
    <w:p w14:paraId="3EB570D2" w14:textId="5CF5BA0B" w:rsidR="002A152C" w:rsidRPr="00D87A15" w:rsidRDefault="002A152C" w:rsidP="00FB6150">
      <w:pPr>
        <w:pStyle w:val="PolicyText"/>
        <w:spacing w:after="0"/>
        <w:ind w:left="720" w:hanging="720"/>
        <w:rPr>
          <w:sz w:val="24"/>
          <w:szCs w:val="24"/>
        </w:rPr>
      </w:pPr>
    </w:p>
    <w:p w14:paraId="57FA23C0" w14:textId="566853B8" w:rsidR="001E47F8" w:rsidRDefault="00355DD2" w:rsidP="00F10B1B">
      <w:pPr>
        <w:pStyle w:val="PolicyText"/>
        <w:ind w:left="720" w:hanging="720"/>
      </w:pPr>
      <w:r>
        <w:rPr>
          <w:sz w:val="24"/>
          <w:szCs w:val="24"/>
        </w:rPr>
        <w:t>G</w:t>
      </w:r>
      <w:r w:rsidR="00F10B1B">
        <w:rPr>
          <w:sz w:val="24"/>
          <w:szCs w:val="24"/>
        </w:rPr>
        <w:t>.</w:t>
      </w:r>
      <w:r w:rsidR="00F10B1B">
        <w:rPr>
          <w:sz w:val="24"/>
          <w:szCs w:val="24"/>
        </w:rPr>
        <w:tab/>
      </w:r>
      <w:r w:rsidR="00A6430B">
        <w:rPr>
          <w:sz w:val="24"/>
          <w:szCs w:val="24"/>
        </w:rPr>
        <w:t>R</w:t>
      </w:r>
      <w:r w:rsidR="00A6430B" w:rsidRPr="00D87A15">
        <w:rPr>
          <w:sz w:val="24"/>
          <w:szCs w:val="24"/>
        </w:rPr>
        <w:t>eport</w:t>
      </w:r>
      <w:r w:rsidR="00A6430B">
        <w:rPr>
          <w:sz w:val="24"/>
          <w:szCs w:val="24"/>
        </w:rPr>
        <w:t>s</w:t>
      </w:r>
      <w:r w:rsidR="00A6430B" w:rsidRPr="00D87A15">
        <w:rPr>
          <w:sz w:val="24"/>
          <w:szCs w:val="24"/>
        </w:rPr>
        <w:t xml:space="preserve"> </w:t>
      </w:r>
      <w:r w:rsidR="00F10B1B" w:rsidRPr="00D87A15">
        <w:rPr>
          <w:sz w:val="24"/>
          <w:szCs w:val="24"/>
        </w:rPr>
        <w:t xml:space="preserve">of </w:t>
      </w:r>
      <w:r w:rsidR="00D14187">
        <w:rPr>
          <w:sz w:val="24"/>
          <w:szCs w:val="24"/>
        </w:rPr>
        <w:t>m</w:t>
      </w:r>
      <w:r w:rsidR="00F10B1B" w:rsidRPr="00D87A15">
        <w:rPr>
          <w:sz w:val="24"/>
          <w:szCs w:val="24"/>
        </w:rPr>
        <w:t xml:space="preserve">isuse of University </w:t>
      </w:r>
      <w:r w:rsidR="00D14187">
        <w:rPr>
          <w:sz w:val="24"/>
          <w:szCs w:val="24"/>
        </w:rPr>
        <w:t>a</w:t>
      </w:r>
      <w:r w:rsidR="00F10B1B" w:rsidRPr="00D87A15">
        <w:rPr>
          <w:sz w:val="24"/>
          <w:szCs w:val="24"/>
        </w:rPr>
        <w:t>ssets will not be subject to retaliation.</w:t>
      </w:r>
    </w:p>
    <w:p w14:paraId="323A6A99" w14:textId="77777777" w:rsidR="00315474" w:rsidRPr="00B01019" w:rsidRDefault="00315474" w:rsidP="00B01019">
      <w:pPr>
        <w:pStyle w:val="SectionTitle"/>
      </w:pPr>
      <w:r w:rsidRPr="00F85753">
        <w:t>Frequently Asked Questions</w:t>
      </w:r>
    </w:p>
    <w:p w14:paraId="3CFE6FEA" w14:textId="41FA7EA9" w:rsidR="005B5A5C" w:rsidRPr="00C10F7B" w:rsidRDefault="005B5A5C" w:rsidP="005B5A5C">
      <w:pPr>
        <w:pStyle w:val="PolicyText"/>
        <w:numPr>
          <w:ilvl w:val="0"/>
          <w:numId w:val="9"/>
        </w:numPr>
        <w:rPr>
          <w:sz w:val="24"/>
          <w:szCs w:val="24"/>
        </w:rPr>
      </w:pPr>
      <w:r w:rsidRPr="00C10F7B">
        <w:rPr>
          <w:sz w:val="24"/>
          <w:szCs w:val="24"/>
        </w:rPr>
        <w:t>What actions constitute fraud?</w:t>
      </w:r>
      <w:r w:rsidRPr="00C10F7B">
        <w:rPr>
          <w:sz w:val="24"/>
          <w:szCs w:val="24"/>
        </w:rPr>
        <w:tab/>
      </w:r>
    </w:p>
    <w:p w14:paraId="68A9753D" w14:textId="26DA1DBB" w:rsidR="001E47F8" w:rsidRPr="00C10F7B" w:rsidRDefault="005B5A5C" w:rsidP="00672D48">
      <w:pPr>
        <w:pStyle w:val="PolicyText"/>
        <w:numPr>
          <w:ilvl w:val="1"/>
          <w:numId w:val="9"/>
        </w:numPr>
        <w:rPr>
          <w:sz w:val="24"/>
          <w:szCs w:val="24"/>
        </w:rPr>
      </w:pPr>
      <w:r w:rsidRPr="00C10F7B">
        <w:rPr>
          <w:sz w:val="24"/>
          <w:szCs w:val="24"/>
        </w:rPr>
        <w:t>Fraud is a type of misuse</w:t>
      </w:r>
      <w:r w:rsidR="003B4FD4" w:rsidRPr="00C10F7B">
        <w:rPr>
          <w:sz w:val="24"/>
          <w:szCs w:val="24"/>
        </w:rPr>
        <w:t xml:space="preserve"> that refers to any </w:t>
      </w:r>
      <w:r w:rsidRPr="00C10F7B">
        <w:rPr>
          <w:sz w:val="24"/>
          <w:szCs w:val="24"/>
        </w:rPr>
        <w:t xml:space="preserve">dishonest </w:t>
      </w:r>
      <w:r w:rsidR="003B4FD4" w:rsidRPr="00C10F7B">
        <w:rPr>
          <w:sz w:val="24"/>
          <w:szCs w:val="24"/>
        </w:rPr>
        <w:t xml:space="preserve">or fraudulent </w:t>
      </w:r>
      <w:r w:rsidRPr="00C10F7B">
        <w:rPr>
          <w:sz w:val="24"/>
          <w:szCs w:val="24"/>
        </w:rPr>
        <w:t>act</w:t>
      </w:r>
      <w:r w:rsidR="003B4FD4" w:rsidRPr="00C10F7B">
        <w:rPr>
          <w:sz w:val="24"/>
          <w:szCs w:val="24"/>
        </w:rPr>
        <w:t>. I</w:t>
      </w:r>
      <w:r w:rsidR="002B5371">
        <w:rPr>
          <w:sz w:val="24"/>
          <w:szCs w:val="24"/>
        </w:rPr>
        <w:t>t</w:t>
      </w:r>
      <w:r w:rsidR="003B4FD4" w:rsidRPr="00C10F7B">
        <w:rPr>
          <w:sz w:val="24"/>
          <w:szCs w:val="24"/>
        </w:rPr>
        <w:t xml:space="preserve"> includes, but is not limited to:</w:t>
      </w:r>
      <w:r w:rsidRPr="00C10F7B">
        <w:rPr>
          <w:sz w:val="24"/>
          <w:szCs w:val="24"/>
        </w:rPr>
        <w:t xml:space="preserve"> misappropriat</w:t>
      </w:r>
      <w:r w:rsidR="00B63F57" w:rsidRPr="00C10F7B">
        <w:rPr>
          <w:sz w:val="24"/>
          <w:szCs w:val="24"/>
        </w:rPr>
        <w:t>ion</w:t>
      </w:r>
      <w:r w:rsidRPr="00C10F7B">
        <w:rPr>
          <w:sz w:val="24"/>
          <w:szCs w:val="24"/>
        </w:rPr>
        <w:t xml:space="preserve"> of funds, securities, supplies or other assets</w:t>
      </w:r>
      <w:r w:rsidR="003B4FD4" w:rsidRPr="00C10F7B">
        <w:rPr>
          <w:sz w:val="24"/>
          <w:szCs w:val="24"/>
        </w:rPr>
        <w:t xml:space="preserve">; impropriety in the handling or reporting of money or financial transactions; profiting as a result of insider </w:t>
      </w:r>
      <w:r w:rsidR="003B4FD4" w:rsidRPr="00C10F7B">
        <w:rPr>
          <w:sz w:val="24"/>
          <w:szCs w:val="24"/>
        </w:rPr>
        <w:lastRenderedPageBreak/>
        <w:t xml:space="preserve">knowledge or improper use of University assets; improperly disclosing confidential and propriety information to outside parties; destruction, removal, or inappropriate use of records, furniture, fixtures, and equipment; </w:t>
      </w:r>
      <w:r w:rsidR="0082652E" w:rsidRPr="00C10F7B">
        <w:rPr>
          <w:sz w:val="24"/>
          <w:szCs w:val="24"/>
        </w:rPr>
        <w:t xml:space="preserve">accepting or seeking anything of material value from contractors, vendors, or persons providing services/materials to the University; and any similar or related irregularity. </w:t>
      </w:r>
    </w:p>
    <w:p w14:paraId="48038AB0" w14:textId="77777777" w:rsidR="00315474" w:rsidRPr="00F85753" w:rsidRDefault="00315474" w:rsidP="00B01019">
      <w:pPr>
        <w:pStyle w:val="SectionTitle"/>
      </w:pPr>
      <w:r w:rsidRPr="00F85753">
        <w:t>Related Information</w:t>
      </w:r>
    </w:p>
    <w:p w14:paraId="7C99AC5F" w14:textId="4150C9C7" w:rsidR="00ED0D7E" w:rsidRDefault="00C17DCD" w:rsidP="00315474">
      <w:pPr>
        <w:pStyle w:val="PolicyText"/>
        <w:rPr>
          <w:sz w:val="24"/>
          <w:szCs w:val="24"/>
        </w:rPr>
      </w:pPr>
      <w:r w:rsidRPr="00D87A15">
        <w:rPr>
          <w:sz w:val="24"/>
          <w:szCs w:val="24"/>
        </w:rPr>
        <w:t xml:space="preserve">Misuse of Assets </w:t>
      </w:r>
      <w:r w:rsidR="00027618">
        <w:rPr>
          <w:sz w:val="24"/>
          <w:szCs w:val="24"/>
        </w:rPr>
        <w:t xml:space="preserve">Reporting and </w:t>
      </w:r>
      <w:r w:rsidRPr="00D87A15">
        <w:rPr>
          <w:sz w:val="24"/>
          <w:szCs w:val="24"/>
        </w:rPr>
        <w:t>Investigatory Pro</w:t>
      </w:r>
      <w:r w:rsidR="00027618">
        <w:rPr>
          <w:sz w:val="24"/>
          <w:szCs w:val="24"/>
        </w:rPr>
        <w:t>cedures</w:t>
      </w:r>
      <w:r w:rsidR="0038137A">
        <w:rPr>
          <w:sz w:val="24"/>
          <w:szCs w:val="24"/>
        </w:rPr>
        <w:t xml:space="preserve"> </w:t>
      </w:r>
      <w:r w:rsidR="0038137A" w:rsidRPr="00952474">
        <w:rPr>
          <w:sz w:val="24"/>
          <w:szCs w:val="24"/>
          <w:shd w:val="clear" w:color="auto" w:fill="FABF8F" w:themeFill="accent6" w:themeFillTint="99"/>
        </w:rPr>
        <w:t>[LINK]</w:t>
      </w:r>
    </w:p>
    <w:p w14:paraId="40F93DFC" w14:textId="32B3D6BE" w:rsidR="005009AD" w:rsidRDefault="00CE590A" w:rsidP="00DD532C">
      <w:pPr>
        <w:spacing w:after="160" w:line="259" w:lineRule="auto"/>
        <w:rPr>
          <w:rStyle w:val="Hyperlink"/>
          <w:rFonts w:ascii="Times New Roman" w:hAnsi="Times New Roman" w:cs="Times New Roman"/>
          <w:bCs/>
          <w:sz w:val="24"/>
          <w:szCs w:val="24"/>
        </w:rPr>
      </w:pPr>
      <w:hyperlink r:id="rId19" w:history="1">
        <w:r w:rsidR="005009AD" w:rsidRPr="00FC24A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Ethics and Compliance Hotline</w:t>
        </w:r>
      </w:hyperlink>
    </w:p>
    <w:p w14:paraId="3841FCEF" w14:textId="5CA3314A" w:rsidR="006878FC" w:rsidRPr="00DD532C" w:rsidRDefault="00CE590A" w:rsidP="00DD532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878FC" w:rsidRPr="006878F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Internal Controls</w:t>
        </w:r>
      </w:hyperlink>
    </w:p>
    <w:p w14:paraId="4AEC607F" w14:textId="41D9FEEC" w:rsidR="00315474" w:rsidRPr="00D87A15" w:rsidRDefault="000F7284" w:rsidP="00315474">
      <w:pPr>
        <w:pStyle w:val="PolicyText"/>
        <w:rPr>
          <w:rFonts w:cs="Times New Roman"/>
          <w:sz w:val="24"/>
          <w:szCs w:val="24"/>
        </w:rPr>
      </w:pPr>
      <w:r w:rsidRPr="00DD532C">
        <w:rPr>
          <w:rFonts w:cs="Times New Roman"/>
          <w:b/>
          <w:bCs/>
          <w:sz w:val="24"/>
          <w:szCs w:val="24"/>
        </w:rPr>
        <w:t>Related Policies</w:t>
      </w:r>
      <w:r w:rsidRPr="00D87A15">
        <w:rPr>
          <w:rFonts w:cs="Times New Roman"/>
          <w:sz w:val="24"/>
          <w:szCs w:val="24"/>
        </w:rPr>
        <w:t>:</w:t>
      </w:r>
    </w:p>
    <w:p w14:paraId="693ECAD1" w14:textId="7A6E0554" w:rsidR="000F7284" w:rsidRPr="00EE4672" w:rsidRDefault="00CE590A" w:rsidP="00EE4672">
      <w:pPr>
        <w:pStyle w:val="PolicyText"/>
        <w:numPr>
          <w:ilvl w:val="0"/>
          <w:numId w:val="6"/>
        </w:numPr>
        <w:rPr>
          <w:sz w:val="24"/>
          <w:szCs w:val="24"/>
        </w:rPr>
      </w:pPr>
      <w:hyperlink r:id="rId21" w:history="1">
        <w:r w:rsidR="00EE4672" w:rsidRPr="00E25A6C">
          <w:rPr>
            <w:rStyle w:val="Hyperlink"/>
            <w:sz w:val="24"/>
            <w:szCs w:val="24"/>
          </w:rPr>
          <w:t xml:space="preserve">Arizona Board of Regents </w:t>
        </w:r>
        <w:r w:rsidR="00134289">
          <w:rPr>
            <w:rStyle w:val="Hyperlink"/>
            <w:sz w:val="24"/>
            <w:szCs w:val="24"/>
          </w:rPr>
          <w:t xml:space="preserve">(ABOR) </w:t>
        </w:r>
        <w:r w:rsidR="00EE4672" w:rsidRPr="00E25A6C">
          <w:rPr>
            <w:rStyle w:val="Hyperlink"/>
            <w:sz w:val="24"/>
            <w:szCs w:val="24"/>
          </w:rPr>
          <w:t>Policy</w:t>
        </w:r>
      </w:hyperlink>
      <w:r w:rsidR="00EE4672">
        <w:rPr>
          <w:sz w:val="24"/>
          <w:szCs w:val="24"/>
        </w:rPr>
        <w:t>, including but not limited to</w:t>
      </w:r>
      <w:r w:rsidR="00EE4672" w:rsidRPr="00F22885">
        <w:rPr>
          <w:sz w:val="24"/>
          <w:szCs w:val="24"/>
        </w:rPr>
        <w:t xml:space="preserve"> </w:t>
      </w:r>
      <w:hyperlink r:id="rId22" w:history="1">
        <w:r w:rsidR="001E32AA" w:rsidRPr="001E32AA">
          <w:rPr>
            <w:rStyle w:val="Hyperlink"/>
            <w:sz w:val="24"/>
            <w:szCs w:val="24"/>
          </w:rPr>
          <w:t>5-301 Code of Conduct – Jurisdiction, Philosophy, Purpose and Limitations</w:t>
        </w:r>
      </w:hyperlink>
      <w:r w:rsidR="001E32AA">
        <w:rPr>
          <w:sz w:val="24"/>
          <w:szCs w:val="24"/>
        </w:rPr>
        <w:t xml:space="preserve">, </w:t>
      </w:r>
      <w:hyperlink r:id="rId23" w:history="1">
        <w:r w:rsidR="001E32AA" w:rsidRPr="001E32AA">
          <w:rPr>
            <w:rStyle w:val="Hyperlink"/>
            <w:sz w:val="24"/>
            <w:szCs w:val="24"/>
          </w:rPr>
          <w:t>5-302 Code of Conduct – Definitions</w:t>
        </w:r>
      </w:hyperlink>
      <w:r w:rsidR="001E32AA">
        <w:rPr>
          <w:sz w:val="24"/>
          <w:szCs w:val="24"/>
        </w:rPr>
        <w:t xml:space="preserve">, </w:t>
      </w:r>
      <w:hyperlink r:id="rId24" w:history="1">
        <w:r w:rsidR="00EE4672" w:rsidRPr="003B2D5D">
          <w:rPr>
            <w:rStyle w:val="Hyperlink"/>
            <w:sz w:val="24"/>
            <w:szCs w:val="24"/>
          </w:rPr>
          <w:t>5-303 Proh</w:t>
        </w:r>
        <w:r w:rsidR="00EE4672" w:rsidRPr="00F22885">
          <w:rPr>
            <w:rStyle w:val="Hyperlink"/>
            <w:sz w:val="24"/>
            <w:szCs w:val="24"/>
          </w:rPr>
          <w:t>ibited Conduct</w:t>
        </w:r>
      </w:hyperlink>
      <w:r w:rsidR="00A90474">
        <w:rPr>
          <w:sz w:val="24"/>
          <w:szCs w:val="24"/>
        </w:rPr>
        <w:t xml:space="preserve">, </w:t>
      </w:r>
      <w:bookmarkStart w:id="1" w:name="_Hlk24725473"/>
      <w:r w:rsidR="00A90474">
        <w:rPr>
          <w:sz w:val="24"/>
          <w:szCs w:val="24"/>
        </w:rPr>
        <w:fldChar w:fldCharType="begin"/>
      </w:r>
      <w:r w:rsidR="00A90474">
        <w:rPr>
          <w:sz w:val="24"/>
          <w:szCs w:val="24"/>
        </w:rPr>
        <w:instrText xml:space="preserve"> HYPERLINK "https://public.azregents.edu/Policy%20Manual/5-308-Student%20Code%20of%20Conduct.pdf" </w:instrText>
      </w:r>
      <w:r w:rsidR="00A90474">
        <w:rPr>
          <w:sz w:val="24"/>
          <w:szCs w:val="24"/>
        </w:rPr>
        <w:fldChar w:fldCharType="separate"/>
      </w:r>
      <w:r w:rsidR="00A90474" w:rsidRPr="00A90474">
        <w:rPr>
          <w:rStyle w:val="Hyperlink"/>
          <w:sz w:val="24"/>
          <w:szCs w:val="24"/>
        </w:rPr>
        <w:t>5-308 Student Code of Conduct</w:t>
      </w:r>
      <w:r w:rsidR="00A90474">
        <w:rPr>
          <w:sz w:val="24"/>
          <w:szCs w:val="24"/>
        </w:rPr>
        <w:fldChar w:fldCharType="end"/>
      </w:r>
      <w:bookmarkEnd w:id="1"/>
      <w:r w:rsidR="00A90474">
        <w:rPr>
          <w:sz w:val="24"/>
          <w:szCs w:val="24"/>
        </w:rPr>
        <w:t>,</w:t>
      </w:r>
      <w:r w:rsidR="00EE4672">
        <w:rPr>
          <w:sz w:val="24"/>
          <w:szCs w:val="24"/>
        </w:rPr>
        <w:t xml:space="preserve"> </w:t>
      </w:r>
      <w:hyperlink r:id="rId25" w:history="1">
        <w:r w:rsidR="00C1554B" w:rsidRPr="00E25A6C">
          <w:rPr>
            <w:rStyle w:val="Hyperlink"/>
            <w:sz w:val="24"/>
            <w:szCs w:val="24"/>
          </w:rPr>
          <w:t>6-711 Internal Control Responsibilities</w:t>
        </w:r>
      </w:hyperlink>
      <w:r w:rsidR="00C1554B">
        <w:rPr>
          <w:sz w:val="24"/>
          <w:szCs w:val="24"/>
        </w:rPr>
        <w:t xml:space="preserve">, </w:t>
      </w:r>
      <w:r w:rsidR="00EE4672">
        <w:rPr>
          <w:sz w:val="24"/>
          <w:szCs w:val="24"/>
        </w:rPr>
        <w:t xml:space="preserve">and </w:t>
      </w:r>
      <w:hyperlink r:id="rId26" w:history="1">
        <w:r w:rsidR="00A40CC6" w:rsidRPr="00EE4672">
          <w:rPr>
            <w:rStyle w:val="Hyperlink"/>
            <w:rFonts w:cs="Times New Roman"/>
            <w:sz w:val="24"/>
            <w:szCs w:val="24"/>
          </w:rPr>
          <w:t xml:space="preserve">6-914 </w:t>
        </w:r>
        <w:r w:rsidR="000F7284" w:rsidRPr="00EE4672">
          <w:rPr>
            <w:rStyle w:val="Hyperlink"/>
            <w:rFonts w:cs="Times New Roman"/>
            <w:sz w:val="24"/>
            <w:szCs w:val="24"/>
          </w:rPr>
          <w:t>Protection of Employees from Reprisal for Whistleblowing</w:t>
        </w:r>
      </w:hyperlink>
      <w:r w:rsidR="00EE4672">
        <w:rPr>
          <w:rFonts w:cs="Times New Roman"/>
          <w:sz w:val="24"/>
          <w:szCs w:val="24"/>
        </w:rPr>
        <w:t>,</w:t>
      </w:r>
      <w:r w:rsidR="000F7284" w:rsidRPr="00EE4672">
        <w:rPr>
          <w:rFonts w:cs="Times New Roman"/>
          <w:sz w:val="24"/>
          <w:szCs w:val="24"/>
        </w:rPr>
        <w:t xml:space="preserve"> and University policies addressing the same</w:t>
      </w:r>
    </w:p>
    <w:p w14:paraId="1E12E7EA" w14:textId="373F42EB" w:rsidR="00C1554B" w:rsidRDefault="00CE590A" w:rsidP="00C1554B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C1554B" w:rsidRPr="0069532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ABOR </w:t>
        </w:r>
        <w:r w:rsidR="00C1554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6-908 </w:t>
        </w:r>
        <w:r w:rsidR="00C1554B" w:rsidRPr="0069532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Intellectual Property Policy</w:t>
        </w:r>
      </w:hyperlink>
      <w:r w:rsidR="00C1554B" w:rsidRPr="00D87A15">
        <w:rPr>
          <w:rFonts w:ascii="Times New Roman" w:hAnsi="Times New Roman" w:cs="Times New Roman"/>
          <w:sz w:val="24"/>
          <w:szCs w:val="24"/>
        </w:rPr>
        <w:t> and </w:t>
      </w:r>
      <w:r w:rsidR="00335A60">
        <w:rPr>
          <w:rFonts w:ascii="Times New Roman" w:hAnsi="Times New Roman" w:cs="Times New Roman"/>
          <w:sz w:val="24"/>
          <w:szCs w:val="24"/>
        </w:rPr>
        <w:t xml:space="preserve">University </w:t>
      </w:r>
      <w:hyperlink r:id="rId28" w:history="1">
        <w:r w:rsidR="00335A60">
          <w:rPr>
            <w:rStyle w:val="Hyperlink"/>
            <w:rFonts w:ascii="Times New Roman" w:hAnsi="Times New Roman" w:cs="Times New Roman"/>
            <w:sz w:val="24"/>
            <w:szCs w:val="24"/>
          </w:rPr>
          <w:t>Intellectual Property Policy</w:t>
        </w:r>
      </w:hyperlink>
    </w:p>
    <w:p w14:paraId="0711E668" w14:textId="591C7189" w:rsidR="005009AD" w:rsidRPr="00D87A15" w:rsidRDefault="00CE590A" w:rsidP="00C1554B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5009AD" w:rsidRPr="005009AD">
          <w:rPr>
            <w:rStyle w:val="Hyperlink"/>
            <w:rFonts w:ascii="Times New Roman" w:hAnsi="Times New Roman" w:cs="Times New Roman"/>
            <w:sz w:val="24"/>
            <w:szCs w:val="24"/>
          </w:rPr>
          <w:t>ABOR Guideline for Implementation of 6-711 “Internal Control Responsibilities”</w:t>
        </w:r>
      </w:hyperlink>
    </w:p>
    <w:p w14:paraId="60E127E3" w14:textId="77777777" w:rsidR="004A0BAC" w:rsidRPr="00C50A09" w:rsidRDefault="00CE590A" w:rsidP="004A0BAC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4A0BAC" w:rsidRPr="0009300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Acceptable Use of Computers and Networks Policy</w:t>
        </w:r>
      </w:hyperlink>
    </w:p>
    <w:p w14:paraId="12E0C1B3" w14:textId="77777777" w:rsidR="004A0BAC" w:rsidRPr="00AB27BD" w:rsidRDefault="00CE590A" w:rsidP="004A0BAC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4A0BAC" w:rsidRPr="00943FC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Arizona Public Service Orientation</w:t>
        </w:r>
      </w:hyperlink>
    </w:p>
    <w:p w14:paraId="072432B3" w14:textId="77777777" w:rsidR="004A0BAC" w:rsidRPr="008D28A8" w:rsidRDefault="00CE590A" w:rsidP="004A0BAC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4A0BAC" w:rsidRPr="008D28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Code of Conduct for Employees Engaged in Accounting, Financial and Budgeting Activities</w:t>
        </w:r>
      </w:hyperlink>
    </w:p>
    <w:p w14:paraId="28F7963C" w14:textId="71F4F7EE" w:rsidR="000F7284" w:rsidRPr="00D87A15" w:rsidRDefault="003D711C" w:rsidP="000F7284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Conflict of Commitment Policy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3D711C">
        <w:rPr>
          <w:rFonts w:ascii="Times New Roman" w:hAnsi="Times New Roman" w:cs="Times New Roman"/>
          <w:sz w:val="24"/>
          <w:szCs w:val="24"/>
        </w:rPr>
        <w:t xml:space="preserve">and </w:t>
      </w:r>
      <w:hyperlink r:id="rId34" w:history="1">
        <w:r w:rsidR="00093008" w:rsidRPr="0009300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Institutional Conflict of Interest</w:t>
        </w:r>
      </w:hyperlink>
      <w:r w:rsidR="000F7284" w:rsidRPr="00D87A15">
        <w:rPr>
          <w:rFonts w:ascii="Times New Roman" w:hAnsi="Times New Roman" w:cs="Times New Roman"/>
          <w:sz w:val="24"/>
          <w:szCs w:val="24"/>
        </w:rPr>
        <w:t>  </w:t>
      </w:r>
    </w:p>
    <w:p w14:paraId="5CADF6CF" w14:textId="77777777" w:rsidR="00E14BFB" w:rsidRPr="008C083E" w:rsidRDefault="00CE590A" w:rsidP="00E14BFB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E14BFB" w:rsidRPr="0074286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Disciplinary Action, Classified Staff Policy Manual, 403.0</w:t>
        </w:r>
      </w:hyperlink>
    </w:p>
    <w:p w14:paraId="0A2D4D6A" w14:textId="750E8034" w:rsidR="000F7284" w:rsidRPr="002960E8" w:rsidRDefault="00CE590A" w:rsidP="002960E8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0F7284" w:rsidRPr="000968F6">
          <w:rPr>
            <w:rStyle w:val="Hyperlink"/>
            <w:rFonts w:ascii="Times New Roman" w:hAnsi="Times New Roman" w:cs="Times New Roman"/>
            <w:sz w:val="24"/>
            <w:szCs w:val="24"/>
          </w:rPr>
          <w:t>Financial</w:t>
        </w:r>
        <w:r w:rsidR="000968F6" w:rsidRPr="000968F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Policies</w:t>
        </w:r>
      </w:hyperlink>
      <w:r w:rsidR="000968F6">
        <w:rPr>
          <w:rFonts w:ascii="Times New Roman" w:hAnsi="Times New Roman" w:cs="Times New Roman"/>
          <w:sz w:val="24"/>
          <w:szCs w:val="24"/>
        </w:rPr>
        <w:t>, including the Financial</w:t>
      </w:r>
      <w:r w:rsidR="000F7284" w:rsidRPr="00D87A15">
        <w:rPr>
          <w:rFonts w:ascii="Times New Roman" w:hAnsi="Times New Roman" w:cs="Times New Roman"/>
          <w:sz w:val="24"/>
          <w:szCs w:val="24"/>
        </w:rPr>
        <w:t xml:space="preserve"> Services Manual</w:t>
      </w:r>
      <w:r w:rsidR="002960E8">
        <w:rPr>
          <w:rFonts w:ascii="Times New Roman" w:hAnsi="Times New Roman" w:cs="Times New Roman"/>
          <w:sz w:val="24"/>
          <w:szCs w:val="24"/>
        </w:rPr>
        <w:t xml:space="preserve">, </w:t>
      </w:r>
      <w:r w:rsidR="00117229" w:rsidRPr="002960E8">
        <w:rPr>
          <w:rFonts w:ascii="Times New Roman" w:hAnsi="Times New Roman" w:cs="Times New Roman"/>
          <w:sz w:val="24"/>
          <w:szCs w:val="24"/>
        </w:rPr>
        <w:t>Property Management Manual</w:t>
      </w:r>
      <w:r w:rsidR="002960E8">
        <w:rPr>
          <w:rFonts w:ascii="Times New Roman" w:hAnsi="Times New Roman" w:cs="Times New Roman"/>
          <w:sz w:val="24"/>
          <w:szCs w:val="24"/>
        </w:rPr>
        <w:t>, Purchasing Card Policies Manual, and Purchasing Policies Manual</w:t>
      </w:r>
      <w:r w:rsidR="00117229" w:rsidRPr="002960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1ABE3" w14:textId="106359AD" w:rsidR="00C50A09" w:rsidRPr="005831E6" w:rsidRDefault="00CE590A" w:rsidP="00176F6C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C50A09" w:rsidRPr="003D35B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Gifts to the University: Solicitation and </w:t>
        </w:r>
        <w:r w:rsidR="00534EC4" w:rsidRPr="003D35B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Receipt</w:t>
        </w:r>
      </w:hyperlink>
    </w:p>
    <w:p w14:paraId="7159534F" w14:textId="1A5FEFC4" w:rsidR="005831E6" w:rsidRPr="00CE590A" w:rsidRDefault="009A6E4E" w:rsidP="00176F6C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5831E6" w:rsidRPr="009A6E4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Political Activity </w:t>
        </w:r>
        <w:r w:rsidR="002E6B76" w:rsidRPr="009A6E4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and Lobbying Policy - Int</w:t>
        </w:r>
        <w:r w:rsidRPr="009A6E4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erim</w:t>
        </w:r>
      </w:hyperlink>
    </w:p>
    <w:p w14:paraId="447FE931" w14:textId="6BFB4E14" w:rsidR="00CE590A" w:rsidRPr="00CE590A" w:rsidRDefault="00CE590A" w:rsidP="00CE590A">
      <w:pPr>
        <w:numPr>
          <w:ilvl w:val="0"/>
          <w:numId w:val="6"/>
        </w:numPr>
        <w:spacing w:after="16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9" w:history="1">
        <w:r w:rsidRPr="00CE590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Professional Conduct, University Handbook for Appointed Personnel</w:t>
        </w:r>
      </w:hyperlink>
      <w:r w:rsidR="006F06F5" w:rsidRPr="00CE590A"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C9B142" w14:textId="0C89186E" w:rsidR="00CE590A" w:rsidRPr="00CE590A" w:rsidRDefault="00CE590A" w:rsidP="00CE590A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CE590A">
          <w:rPr>
            <w:rStyle w:val="Hyperlink"/>
            <w:rFonts w:ascii="Times New Roman" w:hAnsi="Times New Roman" w:cs="Times New Roman"/>
            <w:sz w:val="24"/>
            <w:szCs w:val="24"/>
          </w:rPr>
          <w:t>University Staff Standards of Conduct Policy</w:t>
        </w:r>
      </w:hyperlink>
    </w:p>
    <w:p w14:paraId="7A2BF1D6" w14:textId="77777777" w:rsidR="00315474" w:rsidRPr="00B01019" w:rsidRDefault="00315474" w:rsidP="00B01019">
      <w:pPr>
        <w:pStyle w:val="SectionTitle"/>
      </w:pPr>
      <w:r w:rsidRPr="00F85753">
        <w:t>Revision History</w:t>
      </w:r>
    </w:p>
    <w:p w14:paraId="577DBBEB" w14:textId="77777777" w:rsidR="00315474" w:rsidRDefault="008627F1" w:rsidP="008627F1">
      <w:pPr>
        <w:pStyle w:val="PolicyText"/>
        <w:tabs>
          <w:tab w:val="left" w:pos="4650"/>
        </w:tabs>
      </w:pPr>
      <w:r>
        <w:tab/>
      </w:r>
    </w:p>
    <w:sectPr w:rsidR="00315474" w:rsidSect="005E47AE">
      <w:headerReference w:type="default" r:id="rId41"/>
      <w:footerReference w:type="default" r:id="rId4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6D6F8" w14:textId="77777777" w:rsidR="005D4BC8" w:rsidRDefault="005D4BC8" w:rsidP="00315474">
      <w:pPr>
        <w:spacing w:after="0" w:line="240" w:lineRule="auto"/>
      </w:pPr>
      <w:r>
        <w:separator/>
      </w:r>
    </w:p>
  </w:endnote>
  <w:endnote w:type="continuationSeparator" w:id="0">
    <w:p w14:paraId="1BD94D86" w14:textId="77777777" w:rsidR="005D4BC8" w:rsidRDefault="005D4BC8" w:rsidP="0031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AE9A2" w14:textId="376608F1" w:rsidR="00DC5AC8" w:rsidRPr="00CD0521" w:rsidRDefault="00DC5AC8" w:rsidP="00CD0521">
    <w:pPr>
      <w:pStyle w:val="Footer"/>
    </w:pPr>
    <w:r>
      <w:tab/>
    </w:r>
    <w:r w:rsidRPr="00CD0521">
      <w:t xml:space="preserve">Page </w:t>
    </w:r>
    <w:r w:rsidRPr="00CD0521">
      <w:rPr>
        <w:b/>
      </w:rPr>
      <w:fldChar w:fldCharType="begin"/>
    </w:r>
    <w:r w:rsidRPr="00CD0521">
      <w:rPr>
        <w:b/>
      </w:rPr>
      <w:instrText xml:space="preserve"> PAGE  \* Arabic  \* MERGEFORMAT </w:instrText>
    </w:r>
    <w:r w:rsidRPr="00CD0521">
      <w:rPr>
        <w:b/>
      </w:rPr>
      <w:fldChar w:fldCharType="separate"/>
    </w:r>
    <w:r w:rsidR="00480F72">
      <w:rPr>
        <w:b/>
        <w:noProof/>
      </w:rPr>
      <w:t>3</w:t>
    </w:r>
    <w:r w:rsidRPr="00CD0521">
      <w:rPr>
        <w:b/>
      </w:rPr>
      <w:fldChar w:fldCharType="end"/>
    </w:r>
    <w:r w:rsidRPr="00CD0521">
      <w:t xml:space="preserve"> of </w:t>
    </w:r>
    <w:r w:rsidRPr="00CD0521">
      <w:rPr>
        <w:b/>
      </w:rPr>
      <w:fldChar w:fldCharType="begin"/>
    </w:r>
    <w:r w:rsidRPr="00CD0521">
      <w:rPr>
        <w:b/>
      </w:rPr>
      <w:instrText xml:space="preserve"> NUMPAGES  \* Arabic  \* MERGEFORMAT </w:instrText>
    </w:r>
    <w:r w:rsidRPr="00CD0521">
      <w:rPr>
        <w:b/>
      </w:rPr>
      <w:fldChar w:fldCharType="separate"/>
    </w:r>
    <w:r w:rsidR="00480F72">
      <w:rPr>
        <w:b/>
        <w:noProof/>
      </w:rPr>
      <w:t>3</w:t>
    </w:r>
    <w:r w:rsidRPr="00CD0521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D0395" w14:textId="77777777" w:rsidR="005D4BC8" w:rsidRDefault="005D4BC8" w:rsidP="00315474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AF79B21" w14:textId="77777777" w:rsidR="005D4BC8" w:rsidRDefault="005D4BC8" w:rsidP="0031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0B6F" w14:textId="77777777" w:rsidR="00DC5AC8" w:rsidRDefault="00DC5AC8">
    <w:pPr>
      <w:pStyle w:val="Header"/>
    </w:pPr>
    <w:r>
      <w:rPr>
        <w:noProof/>
      </w:rPr>
      <w:drawing>
        <wp:inline distT="0" distB="0" distL="0" distR="0" wp14:anchorId="4E368127" wp14:editId="1C058C89">
          <wp:extent cx="1600199" cy="379233"/>
          <wp:effectExtent l="0" t="0" r="63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horiz b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199" cy="379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F96835" w14:textId="77777777" w:rsidR="00DC5AC8" w:rsidRDefault="00DC5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3CD6"/>
    <w:multiLevelType w:val="multilevel"/>
    <w:tmpl w:val="3A26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E786F"/>
    <w:multiLevelType w:val="hybridMultilevel"/>
    <w:tmpl w:val="0D943A3A"/>
    <w:lvl w:ilvl="0" w:tplc="F2DC771C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E3B71E7"/>
    <w:multiLevelType w:val="hybridMultilevel"/>
    <w:tmpl w:val="F1B2E9CA"/>
    <w:lvl w:ilvl="0" w:tplc="C0BEE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205E4"/>
    <w:multiLevelType w:val="hybridMultilevel"/>
    <w:tmpl w:val="58E23F18"/>
    <w:lvl w:ilvl="0" w:tplc="D2A0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F728B"/>
    <w:multiLevelType w:val="hybridMultilevel"/>
    <w:tmpl w:val="A008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16F3C"/>
    <w:multiLevelType w:val="hybridMultilevel"/>
    <w:tmpl w:val="403A78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6342E"/>
    <w:multiLevelType w:val="hybridMultilevel"/>
    <w:tmpl w:val="48C2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924B3"/>
    <w:multiLevelType w:val="multilevel"/>
    <w:tmpl w:val="2460F9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EC4B21"/>
    <w:multiLevelType w:val="hybridMultilevel"/>
    <w:tmpl w:val="48AA2DC4"/>
    <w:lvl w:ilvl="0" w:tplc="14E05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E4"/>
    <w:rsid w:val="000114CD"/>
    <w:rsid w:val="00027618"/>
    <w:rsid w:val="0003040E"/>
    <w:rsid w:val="00030904"/>
    <w:rsid w:val="00030D8E"/>
    <w:rsid w:val="000322C0"/>
    <w:rsid w:val="00034A91"/>
    <w:rsid w:val="00036BD8"/>
    <w:rsid w:val="0003793B"/>
    <w:rsid w:val="000445AC"/>
    <w:rsid w:val="000528D8"/>
    <w:rsid w:val="000567A3"/>
    <w:rsid w:val="00062217"/>
    <w:rsid w:val="00067144"/>
    <w:rsid w:val="00070E0A"/>
    <w:rsid w:val="0008268A"/>
    <w:rsid w:val="00084035"/>
    <w:rsid w:val="00091B2B"/>
    <w:rsid w:val="00093008"/>
    <w:rsid w:val="000967EA"/>
    <w:rsid w:val="000968F6"/>
    <w:rsid w:val="00097805"/>
    <w:rsid w:val="00097EF1"/>
    <w:rsid w:val="000A61F2"/>
    <w:rsid w:val="000A659A"/>
    <w:rsid w:val="000A7D39"/>
    <w:rsid w:val="000C3FE9"/>
    <w:rsid w:val="000D2313"/>
    <w:rsid w:val="000F7284"/>
    <w:rsid w:val="00103BBE"/>
    <w:rsid w:val="00107635"/>
    <w:rsid w:val="00111C09"/>
    <w:rsid w:val="00117229"/>
    <w:rsid w:val="00133AE6"/>
    <w:rsid w:val="00134289"/>
    <w:rsid w:val="00136E2D"/>
    <w:rsid w:val="00137116"/>
    <w:rsid w:val="00137D7B"/>
    <w:rsid w:val="001458AF"/>
    <w:rsid w:val="00152B54"/>
    <w:rsid w:val="00152F0A"/>
    <w:rsid w:val="0015327F"/>
    <w:rsid w:val="00155161"/>
    <w:rsid w:val="00155C93"/>
    <w:rsid w:val="00157BD8"/>
    <w:rsid w:val="00175197"/>
    <w:rsid w:val="00176F6C"/>
    <w:rsid w:val="00195F99"/>
    <w:rsid w:val="001B0264"/>
    <w:rsid w:val="001B2EC5"/>
    <w:rsid w:val="001C36D4"/>
    <w:rsid w:val="001C68E1"/>
    <w:rsid w:val="001C793C"/>
    <w:rsid w:val="001C7D8F"/>
    <w:rsid w:val="001D24EE"/>
    <w:rsid w:val="001D6716"/>
    <w:rsid w:val="001E0A9C"/>
    <w:rsid w:val="001E2844"/>
    <w:rsid w:val="001E32AA"/>
    <w:rsid w:val="001E47F8"/>
    <w:rsid w:val="001F5D8F"/>
    <w:rsid w:val="00205C55"/>
    <w:rsid w:val="0021587B"/>
    <w:rsid w:val="00215CE8"/>
    <w:rsid w:val="002169B6"/>
    <w:rsid w:val="00224E3A"/>
    <w:rsid w:val="00224FF8"/>
    <w:rsid w:val="00227C59"/>
    <w:rsid w:val="002324A6"/>
    <w:rsid w:val="00235E43"/>
    <w:rsid w:val="002414B5"/>
    <w:rsid w:val="00241B22"/>
    <w:rsid w:val="00243ECB"/>
    <w:rsid w:val="00244FE9"/>
    <w:rsid w:val="0024536D"/>
    <w:rsid w:val="00251C32"/>
    <w:rsid w:val="00252747"/>
    <w:rsid w:val="002557D2"/>
    <w:rsid w:val="0026030D"/>
    <w:rsid w:val="0026106F"/>
    <w:rsid w:val="00263B9E"/>
    <w:rsid w:val="00270323"/>
    <w:rsid w:val="00272DD6"/>
    <w:rsid w:val="0027399C"/>
    <w:rsid w:val="00282A3A"/>
    <w:rsid w:val="0028525A"/>
    <w:rsid w:val="0028532B"/>
    <w:rsid w:val="002901B9"/>
    <w:rsid w:val="00293430"/>
    <w:rsid w:val="002960E8"/>
    <w:rsid w:val="002A152C"/>
    <w:rsid w:val="002A2700"/>
    <w:rsid w:val="002A27B8"/>
    <w:rsid w:val="002B5371"/>
    <w:rsid w:val="002C10F8"/>
    <w:rsid w:val="002D0A9D"/>
    <w:rsid w:val="002D1D30"/>
    <w:rsid w:val="002D40B2"/>
    <w:rsid w:val="002D534E"/>
    <w:rsid w:val="002E403B"/>
    <w:rsid w:val="002E6B76"/>
    <w:rsid w:val="002F7F71"/>
    <w:rsid w:val="00315474"/>
    <w:rsid w:val="00317092"/>
    <w:rsid w:val="00325C3F"/>
    <w:rsid w:val="00326E7C"/>
    <w:rsid w:val="00335A60"/>
    <w:rsid w:val="00342B2F"/>
    <w:rsid w:val="00355DD2"/>
    <w:rsid w:val="00360F78"/>
    <w:rsid w:val="00365164"/>
    <w:rsid w:val="00370FFC"/>
    <w:rsid w:val="00380E28"/>
    <w:rsid w:val="0038137A"/>
    <w:rsid w:val="00381AF4"/>
    <w:rsid w:val="00393F36"/>
    <w:rsid w:val="003A3003"/>
    <w:rsid w:val="003A33AB"/>
    <w:rsid w:val="003B2D5D"/>
    <w:rsid w:val="003B2FED"/>
    <w:rsid w:val="003B4FD4"/>
    <w:rsid w:val="003C2B37"/>
    <w:rsid w:val="003D35B0"/>
    <w:rsid w:val="003D46BA"/>
    <w:rsid w:val="003D5817"/>
    <w:rsid w:val="003D6373"/>
    <w:rsid w:val="003D711C"/>
    <w:rsid w:val="003E419A"/>
    <w:rsid w:val="003E432C"/>
    <w:rsid w:val="00405F18"/>
    <w:rsid w:val="004064CD"/>
    <w:rsid w:val="0041265B"/>
    <w:rsid w:val="004156C2"/>
    <w:rsid w:val="0043576F"/>
    <w:rsid w:val="00436865"/>
    <w:rsid w:val="00437544"/>
    <w:rsid w:val="00440EE0"/>
    <w:rsid w:val="00446B99"/>
    <w:rsid w:val="00446F11"/>
    <w:rsid w:val="004526DD"/>
    <w:rsid w:val="00454020"/>
    <w:rsid w:val="00467A10"/>
    <w:rsid w:val="00473112"/>
    <w:rsid w:val="00480F72"/>
    <w:rsid w:val="00495011"/>
    <w:rsid w:val="00496C35"/>
    <w:rsid w:val="004A0BAC"/>
    <w:rsid w:val="004C7DB2"/>
    <w:rsid w:val="004D2104"/>
    <w:rsid w:val="004D58F1"/>
    <w:rsid w:val="004E0D8D"/>
    <w:rsid w:val="004E18FE"/>
    <w:rsid w:val="004E3536"/>
    <w:rsid w:val="004E7D09"/>
    <w:rsid w:val="004F47AE"/>
    <w:rsid w:val="005009AD"/>
    <w:rsid w:val="0050573C"/>
    <w:rsid w:val="005062BF"/>
    <w:rsid w:val="00511BA1"/>
    <w:rsid w:val="00516577"/>
    <w:rsid w:val="0052208B"/>
    <w:rsid w:val="005274B4"/>
    <w:rsid w:val="00534EC4"/>
    <w:rsid w:val="0054059D"/>
    <w:rsid w:val="00554026"/>
    <w:rsid w:val="00556ECC"/>
    <w:rsid w:val="0055794B"/>
    <w:rsid w:val="0057057B"/>
    <w:rsid w:val="005752A4"/>
    <w:rsid w:val="005831E6"/>
    <w:rsid w:val="0058588D"/>
    <w:rsid w:val="00590F2E"/>
    <w:rsid w:val="00593F25"/>
    <w:rsid w:val="005A01A1"/>
    <w:rsid w:val="005A3D52"/>
    <w:rsid w:val="005A48D5"/>
    <w:rsid w:val="005B5A27"/>
    <w:rsid w:val="005B5A5C"/>
    <w:rsid w:val="005C2180"/>
    <w:rsid w:val="005D4BC8"/>
    <w:rsid w:val="005D55E0"/>
    <w:rsid w:val="005E1999"/>
    <w:rsid w:val="005E2018"/>
    <w:rsid w:val="005E47AE"/>
    <w:rsid w:val="0061063F"/>
    <w:rsid w:val="00612628"/>
    <w:rsid w:val="00613106"/>
    <w:rsid w:val="00615AD6"/>
    <w:rsid w:val="00627E9B"/>
    <w:rsid w:val="00630ACF"/>
    <w:rsid w:val="00634A5B"/>
    <w:rsid w:val="00644F40"/>
    <w:rsid w:val="00645FA0"/>
    <w:rsid w:val="00647BC3"/>
    <w:rsid w:val="00652AAB"/>
    <w:rsid w:val="00652B92"/>
    <w:rsid w:val="00654FD5"/>
    <w:rsid w:val="00663317"/>
    <w:rsid w:val="006677F3"/>
    <w:rsid w:val="00672D48"/>
    <w:rsid w:val="00681152"/>
    <w:rsid w:val="00681398"/>
    <w:rsid w:val="00683827"/>
    <w:rsid w:val="006878FC"/>
    <w:rsid w:val="00695325"/>
    <w:rsid w:val="006A3B11"/>
    <w:rsid w:val="006A5E64"/>
    <w:rsid w:val="006A7167"/>
    <w:rsid w:val="006B1537"/>
    <w:rsid w:val="006C1F1E"/>
    <w:rsid w:val="006C70E4"/>
    <w:rsid w:val="006D73A0"/>
    <w:rsid w:val="006E4D38"/>
    <w:rsid w:val="006F06F5"/>
    <w:rsid w:val="006F0BB4"/>
    <w:rsid w:val="006F3C5D"/>
    <w:rsid w:val="006F5552"/>
    <w:rsid w:val="00710925"/>
    <w:rsid w:val="007243DA"/>
    <w:rsid w:val="007276F7"/>
    <w:rsid w:val="007420C4"/>
    <w:rsid w:val="00742864"/>
    <w:rsid w:val="00742938"/>
    <w:rsid w:val="00746583"/>
    <w:rsid w:val="007629CD"/>
    <w:rsid w:val="00790B5B"/>
    <w:rsid w:val="007A7D94"/>
    <w:rsid w:val="007B26CF"/>
    <w:rsid w:val="007B78BE"/>
    <w:rsid w:val="007B7E6B"/>
    <w:rsid w:val="007C0A92"/>
    <w:rsid w:val="007C0D61"/>
    <w:rsid w:val="007C3CF4"/>
    <w:rsid w:val="007C5415"/>
    <w:rsid w:val="007D6CEC"/>
    <w:rsid w:val="007E44AD"/>
    <w:rsid w:val="007F1173"/>
    <w:rsid w:val="007F6D24"/>
    <w:rsid w:val="00807F7B"/>
    <w:rsid w:val="00817580"/>
    <w:rsid w:val="0082652E"/>
    <w:rsid w:val="00827C03"/>
    <w:rsid w:val="00844487"/>
    <w:rsid w:val="008473F9"/>
    <w:rsid w:val="00851223"/>
    <w:rsid w:val="008564B8"/>
    <w:rsid w:val="00860F6F"/>
    <w:rsid w:val="008627F1"/>
    <w:rsid w:val="00871CCB"/>
    <w:rsid w:val="00876082"/>
    <w:rsid w:val="0087677D"/>
    <w:rsid w:val="008926A6"/>
    <w:rsid w:val="008A0967"/>
    <w:rsid w:val="008A47A3"/>
    <w:rsid w:val="008B084C"/>
    <w:rsid w:val="008B17B7"/>
    <w:rsid w:val="008B24FF"/>
    <w:rsid w:val="008C083E"/>
    <w:rsid w:val="008C50B7"/>
    <w:rsid w:val="008D2449"/>
    <w:rsid w:val="008D28A8"/>
    <w:rsid w:val="008D2B4D"/>
    <w:rsid w:val="008D727B"/>
    <w:rsid w:val="008E2E19"/>
    <w:rsid w:val="008E40CB"/>
    <w:rsid w:val="008F373C"/>
    <w:rsid w:val="00902397"/>
    <w:rsid w:val="0091068A"/>
    <w:rsid w:val="009237C6"/>
    <w:rsid w:val="00924DE9"/>
    <w:rsid w:val="0093068E"/>
    <w:rsid w:val="0093165C"/>
    <w:rsid w:val="009317ED"/>
    <w:rsid w:val="009340C2"/>
    <w:rsid w:val="00935087"/>
    <w:rsid w:val="00936041"/>
    <w:rsid w:val="00943FC3"/>
    <w:rsid w:val="00952474"/>
    <w:rsid w:val="00957FB4"/>
    <w:rsid w:val="00964F7F"/>
    <w:rsid w:val="0096761B"/>
    <w:rsid w:val="00973D1A"/>
    <w:rsid w:val="00974012"/>
    <w:rsid w:val="00981E71"/>
    <w:rsid w:val="00982285"/>
    <w:rsid w:val="00986722"/>
    <w:rsid w:val="00987312"/>
    <w:rsid w:val="00993E3C"/>
    <w:rsid w:val="009A54EE"/>
    <w:rsid w:val="009A6282"/>
    <w:rsid w:val="009A6E4E"/>
    <w:rsid w:val="009A7ABA"/>
    <w:rsid w:val="009B1794"/>
    <w:rsid w:val="009B42F1"/>
    <w:rsid w:val="009B4928"/>
    <w:rsid w:val="009B4FEA"/>
    <w:rsid w:val="009B7D77"/>
    <w:rsid w:val="009D3CE6"/>
    <w:rsid w:val="009D73AD"/>
    <w:rsid w:val="009E4C2E"/>
    <w:rsid w:val="009E62CA"/>
    <w:rsid w:val="00A11C22"/>
    <w:rsid w:val="00A11E7A"/>
    <w:rsid w:val="00A143BE"/>
    <w:rsid w:val="00A21514"/>
    <w:rsid w:val="00A23E69"/>
    <w:rsid w:val="00A301D6"/>
    <w:rsid w:val="00A3399B"/>
    <w:rsid w:val="00A40CC6"/>
    <w:rsid w:val="00A42B63"/>
    <w:rsid w:val="00A433D7"/>
    <w:rsid w:val="00A44BEC"/>
    <w:rsid w:val="00A46202"/>
    <w:rsid w:val="00A4759B"/>
    <w:rsid w:val="00A62649"/>
    <w:rsid w:val="00A6430B"/>
    <w:rsid w:val="00A746B7"/>
    <w:rsid w:val="00A86C1F"/>
    <w:rsid w:val="00A90474"/>
    <w:rsid w:val="00A90B8A"/>
    <w:rsid w:val="00A9415A"/>
    <w:rsid w:val="00A960AA"/>
    <w:rsid w:val="00A97BEC"/>
    <w:rsid w:val="00AA1ECB"/>
    <w:rsid w:val="00AA3E1C"/>
    <w:rsid w:val="00AA551B"/>
    <w:rsid w:val="00AB27BD"/>
    <w:rsid w:val="00AC06B1"/>
    <w:rsid w:val="00AC135C"/>
    <w:rsid w:val="00AF0E76"/>
    <w:rsid w:val="00AF73A2"/>
    <w:rsid w:val="00B01019"/>
    <w:rsid w:val="00B11EE8"/>
    <w:rsid w:val="00B16242"/>
    <w:rsid w:val="00B20CCF"/>
    <w:rsid w:val="00B20FC2"/>
    <w:rsid w:val="00B22BAD"/>
    <w:rsid w:val="00B24E23"/>
    <w:rsid w:val="00B3755F"/>
    <w:rsid w:val="00B5040C"/>
    <w:rsid w:val="00B5079D"/>
    <w:rsid w:val="00B566CF"/>
    <w:rsid w:val="00B63F57"/>
    <w:rsid w:val="00B645BD"/>
    <w:rsid w:val="00B813D5"/>
    <w:rsid w:val="00B915F1"/>
    <w:rsid w:val="00B92349"/>
    <w:rsid w:val="00BB1DBE"/>
    <w:rsid w:val="00BC2182"/>
    <w:rsid w:val="00BC3986"/>
    <w:rsid w:val="00BD0CB1"/>
    <w:rsid w:val="00BD3992"/>
    <w:rsid w:val="00BD3E96"/>
    <w:rsid w:val="00BD44BB"/>
    <w:rsid w:val="00BD58F8"/>
    <w:rsid w:val="00BE1F83"/>
    <w:rsid w:val="00BF1482"/>
    <w:rsid w:val="00C02221"/>
    <w:rsid w:val="00C07DEE"/>
    <w:rsid w:val="00C10F7B"/>
    <w:rsid w:val="00C1554B"/>
    <w:rsid w:val="00C15811"/>
    <w:rsid w:val="00C17DCD"/>
    <w:rsid w:val="00C22CEC"/>
    <w:rsid w:val="00C22F98"/>
    <w:rsid w:val="00C4376E"/>
    <w:rsid w:val="00C47164"/>
    <w:rsid w:val="00C50A09"/>
    <w:rsid w:val="00C526FC"/>
    <w:rsid w:val="00C62EF1"/>
    <w:rsid w:val="00C70955"/>
    <w:rsid w:val="00C85645"/>
    <w:rsid w:val="00C90848"/>
    <w:rsid w:val="00C93840"/>
    <w:rsid w:val="00CA0201"/>
    <w:rsid w:val="00CA0B71"/>
    <w:rsid w:val="00CA2A19"/>
    <w:rsid w:val="00CA7DF2"/>
    <w:rsid w:val="00CB0981"/>
    <w:rsid w:val="00CB5590"/>
    <w:rsid w:val="00CB6656"/>
    <w:rsid w:val="00CC5B6A"/>
    <w:rsid w:val="00CD0521"/>
    <w:rsid w:val="00CE1A7F"/>
    <w:rsid w:val="00CE2913"/>
    <w:rsid w:val="00CE590A"/>
    <w:rsid w:val="00CE694F"/>
    <w:rsid w:val="00CF1151"/>
    <w:rsid w:val="00CF23BD"/>
    <w:rsid w:val="00CF34D3"/>
    <w:rsid w:val="00CF6B00"/>
    <w:rsid w:val="00D02E64"/>
    <w:rsid w:val="00D14187"/>
    <w:rsid w:val="00D54561"/>
    <w:rsid w:val="00D5675C"/>
    <w:rsid w:val="00D765EF"/>
    <w:rsid w:val="00D87A15"/>
    <w:rsid w:val="00DA5231"/>
    <w:rsid w:val="00DB30AA"/>
    <w:rsid w:val="00DB45BE"/>
    <w:rsid w:val="00DB69D6"/>
    <w:rsid w:val="00DC0B33"/>
    <w:rsid w:val="00DC208D"/>
    <w:rsid w:val="00DC3F2D"/>
    <w:rsid w:val="00DC4DF0"/>
    <w:rsid w:val="00DC5AC8"/>
    <w:rsid w:val="00DD229F"/>
    <w:rsid w:val="00DD532C"/>
    <w:rsid w:val="00DF162C"/>
    <w:rsid w:val="00E10E8C"/>
    <w:rsid w:val="00E14BFB"/>
    <w:rsid w:val="00E156BD"/>
    <w:rsid w:val="00E25A6C"/>
    <w:rsid w:val="00E34CCC"/>
    <w:rsid w:val="00E34E5C"/>
    <w:rsid w:val="00E453A3"/>
    <w:rsid w:val="00E45D49"/>
    <w:rsid w:val="00E5626D"/>
    <w:rsid w:val="00E56D72"/>
    <w:rsid w:val="00E61940"/>
    <w:rsid w:val="00E7148C"/>
    <w:rsid w:val="00E847A6"/>
    <w:rsid w:val="00E871CC"/>
    <w:rsid w:val="00E962AE"/>
    <w:rsid w:val="00EB2475"/>
    <w:rsid w:val="00EB2B40"/>
    <w:rsid w:val="00EC0DEC"/>
    <w:rsid w:val="00EC2EC9"/>
    <w:rsid w:val="00EC35EB"/>
    <w:rsid w:val="00ED0D7E"/>
    <w:rsid w:val="00EE4672"/>
    <w:rsid w:val="00EF11B3"/>
    <w:rsid w:val="00F03623"/>
    <w:rsid w:val="00F10B1B"/>
    <w:rsid w:val="00F12FC1"/>
    <w:rsid w:val="00F14568"/>
    <w:rsid w:val="00F22885"/>
    <w:rsid w:val="00F32102"/>
    <w:rsid w:val="00F367B3"/>
    <w:rsid w:val="00F41696"/>
    <w:rsid w:val="00F42459"/>
    <w:rsid w:val="00F47487"/>
    <w:rsid w:val="00F50752"/>
    <w:rsid w:val="00F5352D"/>
    <w:rsid w:val="00F5624E"/>
    <w:rsid w:val="00F57EF7"/>
    <w:rsid w:val="00F6134D"/>
    <w:rsid w:val="00F638D1"/>
    <w:rsid w:val="00F642CE"/>
    <w:rsid w:val="00F747BA"/>
    <w:rsid w:val="00F770FF"/>
    <w:rsid w:val="00F83DB3"/>
    <w:rsid w:val="00F85753"/>
    <w:rsid w:val="00F90A3D"/>
    <w:rsid w:val="00F95913"/>
    <w:rsid w:val="00F95C99"/>
    <w:rsid w:val="00F9674D"/>
    <w:rsid w:val="00FA28D8"/>
    <w:rsid w:val="00FB44A7"/>
    <w:rsid w:val="00FB45F2"/>
    <w:rsid w:val="00FB6150"/>
    <w:rsid w:val="00FC24A4"/>
    <w:rsid w:val="00FD0A5E"/>
    <w:rsid w:val="00FD3F05"/>
    <w:rsid w:val="00FD5D84"/>
    <w:rsid w:val="00FF1BC8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7437A275"/>
  <w15:docId w15:val="{38636FC0-A4CC-4BC3-884E-FB52383C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83"/>
    <w:pPr>
      <w:ind w:left="720"/>
      <w:contextualSpacing/>
    </w:pPr>
  </w:style>
  <w:style w:type="paragraph" w:customStyle="1" w:styleId="PolicyTitle">
    <w:name w:val="Policy Title"/>
    <w:link w:val="PolicyTitleChar"/>
    <w:qFormat/>
    <w:rsid w:val="00BC3986"/>
    <w:pPr>
      <w:spacing w:before="120" w:after="360" w:line="240" w:lineRule="auto"/>
      <w:jc w:val="center"/>
    </w:pPr>
    <w:rPr>
      <w:rFonts w:ascii="Verdana" w:hAnsi="Verdana"/>
      <w:color w:val="17365D" w:themeColor="text2" w:themeShade="BF"/>
      <w:sz w:val="48"/>
    </w:rPr>
  </w:style>
  <w:style w:type="paragraph" w:customStyle="1" w:styleId="PolicyHeadings">
    <w:name w:val="Policy Headings"/>
    <w:basedOn w:val="PolicyTitle"/>
    <w:link w:val="PolicyHeadingsChar"/>
    <w:qFormat/>
    <w:rsid w:val="00A143BE"/>
    <w:pPr>
      <w:spacing w:after="120"/>
      <w:ind w:left="1080"/>
      <w:jc w:val="left"/>
    </w:pPr>
    <w:rPr>
      <w:b/>
      <w:sz w:val="22"/>
    </w:rPr>
  </w:style>
  <w:style w:type="paragraph" w:customStyle="1" w:styleId="PolicyHeadingtext">
    <w:name w:val="Policy Heading text"/>
    <w:basedOn w:val="PolicyHeadings"/>
    <w:qFormat/>
    <w:rsid w:val="000528D8"/>
    <w:pPr>
      <w:ind w:firstLine="720"/>
    </w:pPr>
    <w:rPr>
      <w:b w:val="0"/>
    </w:rPr>
  </w:style>
  <w:style w:type="paragraph" w:customStyle="1" w:styleId="SectionTitle">
    <w:name w:val="Section Title"/>
    <w:basedOn w:val="PolicyHeadings"/>
    <w:next w:val="PolicyText"/>
    <w:link w:val="SectionTitleChar"/>
    <w:qFormat/>
    <w:rsid w:val="00993E3C"/>
    <w:pPr>
      <w:pBdr>
        <w:top w:val="single" w:sz="4" w:space="1" w:color="1F497D" w:themeColor="text2"/>
        <w:bottom w:val="single" w:sz="4" w:space="1" w:color="1F497D" w:themeColor="text2"/>
      </w:pBdr>
      <w:shd w:val="clear" w:color="auto" w:fill="0C234B"/>
      <w:tabs>
        <w:tab w:val="left" w:pos="720"/>
      </w:tabs>
      <w:ind w:left="0"/>
    </w:pPr>
    <w:rPr>
      <w:smallCaps/>
      <w:color w:val="FFFFFF" w:themeColor="background1"/>
      <w:sz w:val="28"/>
      <w:szCs w:val="24"/>
    </w:rPr>
  </w:style>
  <w:style w:type="paragraph" w:customStyle="1" w:styleId="PolicyText">
    <w:name w:val="Policy Text"/>
    <w:basedOn w:val="Normal"/>
    <w:qFormat/>
    <w:rsid w:val="00746583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74"/>
  </w:style>
  <w:style w:type="paragraph" w:styleId="Footer">
    <w:name w:val="footer"/>
    <w:basedOn w:val="Normal"/>
    <w:link w:val="FooterChar"/>
    <w:uiPriority w:val="99"/>
    <w:unhideWhenUsed/>
    <w:rsid w:val="0031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74"/>
  </w:style>
  <w:style w:type="paragraph" w:customStyle="1" w:styleId="Footertest">
    <w:name w:val="Footer test"/>
    <w:basedOn w:val="Footer"/>
    <w:qFormat/>
    <w:rsid w:val="00F41696"/>
    <w:rPr>
      <w:rFonts w:ascii="Verdana" w:hAnsi="Verdana"/>
      <w:sz w:val="18"/>
    </w:rPr>
  </w:style>
  <w:style w:type="character" w:customStyle="1" w:styleId="PolicyTitleChar">
    <w:name w:val="Policy Title Char"/>
    <w:basedOn w:val="DefaultParagraphFont"/>
    <w:link w:val="PolicyTitle"/>
    <w:rsid w:val="00BC3986"/>
    <w:rPr>
      <w:rFonts w:ascii="Verdana" w:hAnsi="Verdana"/>
      <w:color w:val="17365D" w:themeColor="text2" w:themeShade="BF"/>
      <w:sz w:val="48"/>
    </w:rPr>
  </w:style>
  <w:style w:type="character" w:customStyle="1" w:styleId="PolicyHeadingsChar">
    <w:name w:val="Policy Headings Char"/>
    <w:basedOn w:val="PolicyTitleChar"/>
    <w:link w:val="PolicyHeadings"/>
    <w:rsid w:val="00A143BE"/>
    <w:rPr>
      <w:rFonts w:ascii="Verdana" w:hAnsi="Verdana"/>
      <w:b/>
      <w:color w:val="17365D" w:themeColor="text2" w:themeShade="BF"/>
      <w:sz w:val="48"/>
    </w:rPr>
  </w:style>
  <w:style w:type="character" w:customStyle="1" w:styleId="SectionTitleChar">
    <w:name w:val="Section Title Char"/>
    <w:basedOn w:val="PolicyHeadingsChar"/>
    <w:link w:val="SectionTitle"/>
    <w:rsid w:val="00993E3C"/>
    <w:rPr>
      <w:rFonts w:ascii="Verdana" w:hAnsi="Verdana"/>
      <w:b/>
      <w:smallCaps/>
      <w:color w:val="FFFFFF" w:themeColor="background1"/>
      <w:sz w:val="28"/>
      <w:szCs w:val="24"/>
      <w:shd w:val="clear" w:color="auto" w:fill="0C234B"/>
    </w:rPr>
  </w:style>
  <w:style w:type="character" w:styleId="Hyperlink">
    <w:name w:val="Hyperlink"/>
    <w:basedOn w:val="DefaultParagraphFont"/>
    <w:uiPriority w:val="99"/>
    <w:unhideWhenUsed/>
    <w:rsid w:val="000F72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4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0B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619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15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709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B4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lic.azregents.edu/Policy%20Manual/5-303-Prohibited%20Conduct.pdf" TargetMode="External"/><Relationship Id="rId18" Type="http://schemas.openxmlformats.org/officeDocument/2006/relationships/hyperlink" Target="https://gao.az.gov/sites/default/files/0515%20Code%20of%20Conduct%20for%20Employees%20Involved%20in%20Financial%20Activities%20150701-COC.pdf" TargetMode="External"/><Relationship Id="rId26" Type="http://schemas.openxmlformats.org/officeDocument/2006/relationships/hyperlink" Target="https://public.azregents.edu/Policy%20Manual/6-914-Protection%20of%20Employees%20from%20Reprisal%20for%20Whistleblowing.pdf" TargetMode="External"/><Relationship Id="rId39" Type="http://schemas.openxmlformats.org/officeDocument/2006/relationships/hyperlink" Target="http://policy.arizona.edu/faculty-affairs-and-academics/professional-conduct" TargetMode="External"/><Relationship Id="rId21" Type="http://schemas.openxmlformats.org/officeDocument/2006/relationships/hyperlink" Target="https://www.azregents.edu/board-committees/policy-manual" TargetMode="External"/><Relationship Id="rId34" Type="http://schemas.openxmlformats.org/officeDocument/2006/relationships/hyperlink" Target="http://policy.arizona.edu/research/institutional-conflict-interest-policy" TargetMode="External"/><Relationship Id="rId42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ublic.azregents.edu/Policy%20Manual/Guideline%20For%20Implementation%20of%206-711-Internal%20Control%20Responsibilities.pdf" TargetMode="External"/><Relationship Id="rId20" Type="http://schemas.openxmlformats.org/officeDocument/2006/relationships/hyperlink" Target="https://www.fso.arizona.edu/internal-control/types" TargetMode="External"/><Relationship Id="rId29" Type="http://schemas.openxmlformats.org/officeDocument/2006/relationships/hyperlink" Target="https://public.azregents.edu/Policy%20Manual/Guideline%20For%20Implementation%20of%206-711-Internal%20Control%20Responsibilities.pd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lic.azregents.edu/Policy%20Manual/5-301-Code%20of%20Conduct%20-%20Jurisdiction,%20Philosophy,%20Purpose%20and%20Limitations.pdf" TargetMode="External"/><Relationship Id="rId24" Type="http://schemas.openxmlformats.org/officeDocument/2006/relationships/hyperlink" Target="https://public.azregents.edu/Policy%20Manual/5-303-Prohibited%20Conduct.pdf" TargetMode="External"/><Relationship Id="rId32" Type="http://schemas.openxmlformats.org/officeDocument/2006/relationships/hyperlink" Target="https://gao.az.gov/sites/default/files/0515%20Code%20of%20Conduct%20for%20Employees%20Involved%20in%20Financial%20Activities%20150701-COC.pdf" TargetMode="External"/><Relationship Id="rId37" Type="http://schemas.openxmlformats.org/officeDocument/2006/relationships/hyperlink" Target="http://policy.arizona.edu/employmenthuman-resources/gifts-university-solicitation-and-receipt" TargetMode="External"/><Relationship Id="rId40" Type="http://schemas.openxmlformats.org/officeDocument/2006/relationships/hyperlink" Target="https://policy.arizona.edu/employment-human-resources/university-staff-standards-conduct-policy" TargetMode="External"/><Relationship Id="rId5" Type="http://schemas.openxmlformats.org/officeDocument/2006/relationships/styles" Target="styles.xml"/><Relationship Id="rId15" Type="http://schemas.openxmlformats.org/officeDocument/2006/relationships/hyperlink" Target="https://public.azregents.edu/Policy%20Manual/6-711-Internal%20Control%20Responsibilities.pdf" TargetMode="External"/><Relationship Id="rId23" Type="http://schemas.openxmlformats.org/officeDocument/2006/relationships/hyperlink" Target="https://public.azregents.edu/Policy%20Manual/5-302-Code%20of%20Conduct%20-%20Definitions.pdf" TargetMode="External"/><Relationship Id="rId28" Type="http://schemas.openxmlformats.org/officeDocument/2006/relationships/hyperlink" Target="http://policy.arizona.edu/research/intellectual-property-policy" TargetMode="External"/><Relationship Id="rId36" Type="http://schemas.openxmlformats.org/officeDocument/2006/relationships/hyperlink" Target="https://policy.fso.arizona.edu/" TargetMode="External"/><Relationship Id="rId10" Type="http://schemas.openxmlformats.org/officeDocument/2006/relationships/hyperlink" Target="https://www.azregents.edu/board-committees/policy-manual" TargetMode="External"/><Relationship Id="rId19" Type="http://schemas.openxmlformats.org/officeDocument/2006/relationships/hyperlink" Target="https://compliance.arizona.edu/hotline" TargetMode="External"/><Relationship Id="rId31" Type="http://schemas.openxmlformats.org/officeDocument/2006/relationships/hyperlink" Target="https://hr.arizona.edu/employees-affiliates/new-ua/new-employee-orientation-programs/arizona-public-service-orientation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ublic.azregents.edu/Policy%20Manual/5-308-Student%20Code%20of%20Conduct.pdf" TargetMode="External"/><Relationship Id="rId22" Type="http://schemas.openxmlformats.org/officeDocument/2006/relationships/hyperlink" Target="https://public.azregents.edu/Policy%20Manual/5-301-Code%20of%20Conduct%20-%20Jurisdiction,%20Philosophy,%20Purpose%20and%20Limitations.pdf" TargetMode="External"/><Relationship Id="rId27" Type="http://schemas.openxmlformats.org/officeDocument/2006/relationships/hyperlink" Target="https://public.azregents.edu/Policy%20Manual/6-908-Intellectual%20Property%20Policy.pdf" TargetMode="External"/><Relationship Id="rId30" Type="http://schemas.openxmlformats.org/officeDocument/2006/relationships/hyperlink" Target="http://policy.arizona.edu/information-technology/acceptable-use-computers-and-networks-policy" TargetMode="External"/><Relationship Id="rId35" Type="http://schemas.openxmlformats.org/officeDocument/2006/relationships/hyperlink" Target="http://policy.arizona.edu/employment-human-resources/disciplinary-action" TargetMode="External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public.azregents.edu/Policy%20Manual/5-302-Code%20of%20Conduct%20-%20Definitions.pdf" TargetMode="External"/><Relationship Id="rId17" Type="http://schemas.openxmlformats.org/officeDocument/2006/relationships/hyperlink" Target="https://www.fso.arizona.edu/internal-control/types" TargetMode="External"/><Relationship Id="rId25" Type="http://schemas.openxmlformats.org/officeDocument/2006/relationships/hyperlink" Target="https://public.azregents.edu/Policy%20Manual/6-711-Internal%20Control%20Responsibilities.pdf" TargetMode="External"/><Relationship Id="rId33" Type="http://schemas.openxmlformats.org/officeDocument/2006/relationships/hyperlink" Target="http://policy.arizona.edu/research/conflict-commitment-policy" TargetMode="External"/><Relationship Id="rId38" Type="http://schemas.openxmlformats.org/officeDocument/2006/relationships/hyperlink" Target="https://policy.arizona.edu/ethics-and-conduct/political-activity-and-lobbying-policy-inter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anderson\Documents\Policy%20Docs\Policy%20Reorganization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4F2E8C873E54A914AAA0F2510A0E3" ma:contentTypeVersion="11" ma:contentTypeDescription="Create a new document." ma:contentTypeScope="" ma:versionID="2612cc86fa43f97972c1c328de028d0e">
  <xsd:schema xmlns:xsd="http://www.w3.org/2001/XMLSchema" xmlns:xs="http://www.w3.org/2001/XMLSchema" xmlns:p="http://schemas.microsoft.com/office/2006/metadata/properties" xmlns:ns2="c413c277-8dc8-497f-84ce-175233188379" xmlns:ns3="2f20a817-ec1d-409a-85cb-c85497aa4114" targetNamespace="http://schemas.microsoft.com/office/2006/metadata/properties" ma:root="true" ma:fieldsID="14d85bf74f17a1bef2d802e56277ddd6" ns2:_="" ns3:_="">
    <xsd:import namespace="c413c277-8dc8-497f-84ce-175233188379"/>
    <xsd:import namespace="2f20a817-ec1d-409a-85cb-c85497aa4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c277-8dc8-497f-84ce-175233188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817-ec1d-409a-85cb-c85497aa4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017EC-CDC2-497D-A915-A8D8751783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B8B9F-ABFE-432B-A50E-F557146C5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3c277-8dc8-497f-84ce-175233188379"/>
    <ds:schemaRef ds:uri="2f20a817-ec1d-409a-85cb-c85497aa4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C3024-4D2B-49D6-958B-CF46131679D4}">
  <ds:schemaRefs>
    <ds:schemaRef ds:uri="http://purl.org/dc/dcmitype/"/>
    <ds:schemaRef ds:uri="http://schemas.microsoft.com/office/2006/metadata/properties"/>
    <ds:schemaRef ds:uri="143495ab-84af-4e36-8b2f-e325c5c9712e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57</TotalTime>
  <Pages>3</Pages>
  <Words>1426</Words>
  <Characters>8133</Characters>
  <Application>Microsoft Office Word</Application>
  <DocSecurity>0</DocSecurity>
  <PresentationFormat/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wdNOSTAMP</dc:subject>
  <dc:creator>Anderson, Kirsteen E. - (keanderson)</dc:creator>
  <dc:description>DO NOT STAMP</dc:description>
  <cp:lastModifiedBy>Prim, Bethany</cp:lastModifiedBy>
  <cp:revision>42</cp:revision>
  <cp:lastPrinted>2014-12-12T18:19:00Z</cp:lastPrinted>
  <dcterms:created xsi:type="dcterms:W3CDTF">2020-02-19T14:57:00Z</dcterms:created>
  <dcterms:modified xsi:type="dcterms:W3CDTF">2021-03-19T16:45:00Z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0x010100D564F2E8C873E54A914AAA0F2510A0E3</vt:lpwstr>
  </property>
</Properties>
</file>